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13F68" w14:textId="7E84B949" w:rsidR="003168F8" w:rsidRDefault="003168F8" w:rsidP="003168F8">
      <w:pPr>
        <w:pStyle w:val="Title"/>
      </w:pPr>
      <w:r w:rsidRPr="00662CBC">
        <w:t>EuropEan</w:t>
      </w:r>
      <w:r w:rsidR="00FC5BEE">
        <w:t xml:space="preserve"> </w:t>
      </w:r>
      <w:r w:rsidRPr="00662CBC">
        <w:t>quotas</w:t>
      </w:r>
    </w:p>
    <w:p w14:paraId="59E6204C" w14:textId="49CCF87C" w:rsidR="00FC5BEE" w:rsidRDefault="00FC5BEE" w:rsidP="00FC5BEE">
      <w:pPr>
        <w:pStyle w:val="Subtitle"/>
      </w:pPr>
      <w:r>
        <w:t>Foreign Service and Security Sector</w:t>
      </w:r>
    </w:p>
    <w:p w14:paraId="6AD42851" w14:textId="681B94BC" w:rsidR="00081B19" w:rsidRDefault="00C3646D" w:rsidP="003168F8">
      <w:r>
        <w:t>Rangita de Silva de Alwis</w:t>
      </w:r>
      <w:r w:rsidR="00081B19">
        <w:rPr>
          <w:rStyle w:val="FootnoteReference"/>
        </w:rPr>
        <w:footnoteReference w:id="1"/>
      </w:r>
    </w:p>
    <w:p w14:paraId="646A60A1" w14:textId="3041E3FD" w:rsidR="003168F8" w:rsidRPr="00662CBC" w:rsidRDefault="00C3646D" w:rsidP="003168F8">
      <w:r>
        <w:t xml:space="preserve"> </w:t>
      </w:r>
    </w:p>
    <w:sdt>
      <w:sdtPr>
        <w:rPr>
          <w:caps/>
        </w:rPr>
        <w:id w:val="-912848136"/>
        <w:docPartObj>
          <w:docPartGallery w:val="Table of Contents"/>
          <w:docPartUnique/>
        </w:docPartObj>
      </w:sdtPr>
      <w:sdtEndPr>
        <w:rPr>
          <w:b/>
          <w:bCs/>
          <w:caps w:val="0"/>
          <w:noProof/>
        </w:rPr>
      </w:sdtEndPr>
      <w:sdtContent>
        <w:p w14:paraId="6009F73F" w14:textId="77777777" w:rsidR="003168F8" w:rsidRPr="00662CBC" w:rsidRDefault="003168F8" w:rsidP="003168F8">
          <w:r w:rsidRPr="00662CBC">
            <w:t>Table of Contents</w:t>
          </w:r>
        </w:p>
        <w:p w14:paraId="30A135C9" w14:textId="489290BE" w:rsidR="00105CB0" w:rsidRDefault="003168F8">
          <w:pPr>
            <w:pStyle w:val="TOC1"/>
            <w:tabs>
              <w:tab w:val="right" w:leader="dot" w:pos="9016"/>
            </w:tabs>
            <w:rPr>
              <w:rFonts w:eastAsiaTheme="minorEastAsia" w:cstheme="minorBidi"/>
              <w:b w:val="0"/>
              <w:bCs w:val="0"/>
              <w:caps w:val="0"/>
              <w:noProof/>
              <w:kern w:val="2"/>
              <w:sz w:val="24"/>
              <w:szCs w:val="24"/>
              <w:u w:val="none"/>
              <w:lang w:eastAsia="en-GB" w:bidi="he-IL"/>
              <w14:ligatures w14:val="standardContextual"/>
            </w:rPr>
          </w:pPr>
          <w:r w:rsidRPr="00662CBC">
            <w:rPr>
              <w:b w:val="0"/>
              <w:bCs w:val="0"/>
            </w:rPr>
            <w:fldChar w:fldCharType="begin"/>
          </w:r>
          <w:r w:rsidRPr="00662CBC">
            <w:instrText xml:space="preserve"> TOC \o "1-3" \h \z \u </w:instrText>
          </w:r>
          <w:r w:rsidRPr="00662CBC">
            <w:rPr>
              <w:b w:val="0"/>
              <w:bCs w:val="0"/>
            </w:rPr>
            <w:fldChar w:fldCharType="separate"/>
          </w:r>
          <w:hyperlink w:anchor="_Toc132806684" w:history="1">
            <w:r w:rsidR="00105CB0" w:rsidRPr="00DD3337">
              <w:rPr>
                <w:rStyle w:val="Hyperlink"/>
                <w:noProof/>
              </w:rPr>
              <w:t>Short Analysis of FindingS</w:t>
            </w:r>
            <w:r w:rsidR="00105CB0">
              <w:rPr>
                <w:noProof/>
                <w:webHidden/>
              </w:rPr>
              <w:tab/>
            </w:r>
            <w:r w:rsidR="00105CB0">
              <w:rPr>
                <w:noProof/>
                <w:webHidden/>
              </w:rPr>
              <w:fldChar w:fldCharType="begin"/>
            </w:r>
            <w:r w:rsidR="00105CB0">
              <w:rPr>
                <w:noProof/>
                <w:webHidden/>
              </w:rPr>
              <w:instrText xml:space="preserve"> PAGEREF _Toc132806684 \h </w:instrText>
            </w:r>
            <w:r w:rsidR="00105CB0">
              <w:rPr>
                <w:noProof/>
                <w:webHidden/>
              </w:rPr>
            </w:r>
            <w:r w:rsidR="00105CB0">
              <w:rPr>
                <w:noProof/>
                <w:webHidden/>
              </w:rPr>
              <w:fldChar w:fldCharType="separate"/>
            </w:r>
            <w:r w:rsidR="00105CB0">
              <w:rPr>
                <w:noProof/>
                <w:webHidden/>
              </w:rPr>
              <w:t>3</w:t>
            </w:r>
            <w:r w:rsidR="00105CB0">
              <w:rPr>
                <w:noProof/>
                <w:webHidden/>
              </w:rPr>
              <w:fldChar w:fldCharType="end"/>
            </w:r>
          </w:hyperlink>
        </w:p>
        <w:p w14:paraId="3399282D" w14:textId="5AA2A922" w:rsidR="00105CB0" w:rsidRDefault="00000000">
          <w:pPr>
            <w:pStyle w:val="TOC1"/>
            <w:tabs>
              <w:tab w:val="right" w:leader="dot" w:pos="9016"/>
            </w:tabs>
            <w:rPr>
              <w:rFonts w:eastAsiaTheme="minorEastAsia" w:cstheme="minorBidi"/>
              <w:b w:val="0"/>
              <w:bCs w:val="0"/>
              <w:caps w:val="0"/>
              <w:noProof/>
              <w:kern w:val="2"/>
              <w:sz w:val="24"/>
              <w:szCs w:val="24"/>
              <w:u w:val="none"/>
              <w:lang w:eastAsia="en-GB" w:bidi="he-IL"/>
              <w14:ligatures w14:val="standardContextual"/>
            </w:rPr>
          </w:pPr>
          <w:hyperlink w:anchor="_Toc132806685" w:history="1">
            <w:r w:rsidR="00105CB0" w:rsidRPr="00DD3337">
              <w:rPr>
                <w:rStyle w:val="Hyperlink"/>
                <w:noProof/>
              </w:rPr>
              <w:t>ApPendix I</w:t>
            </w:r>
            <w:r w:rsidR="00105CB0">
              <w:rPr>
                <w:noProof/>
                <w:webHidden/>
              </w:rPr>
              <w:tab/>
            </w:r>
            <w:r w:rsidR="00105CB0">
              <w:rPr>
                <w:noProof/>
                <w:webHidden/>
              </w:rPr>
              <w:fldChar w:fldCharType="begin"/>
            </w:r>
            <w:r w:rsidR="00105CB0">
              <w:rPr>
                <w:noProof/>
                <w:webHidden/>
              </w:rPr>
              <w:instrText xml:space="preserve"> PAGEREF _Toc132806685 \h </w:instrText>
            </w:r>
            <w:r w:rsidR="00105CB0">
              <w:rPr>
                <w:noProof/>
                <w:webHidden/>
              </w:rPr>
            </w:r>
            <w:r w:rsidR="00105CB0">
              <w:rPr>
                <w:noProof/>
                <w:webHidden/>
              </w:rPr>
              <w:fldChar w:fldCharType="separate"/>
            </w:r>
            <w:r w:rsidR="00105CB0">
              <w:rPr>
                <w:noProof/>
                <w:webHidden/>
              </w:rPr>
              <w:t>4</w:t>
            </w:r>
            <w:r w:rsidR="00105CB0">
              <w:rPr>
                <w:noProof/>
                <w:webHidden/>
              </w:rPr>
              <w:fldChar w:fldCharType="end"/>
            </w:r>
          </w:hyperlink>
        </w:p>
        <w:p w14:paraId="15A71D1E" w14:textId="00B3ACFB" w:rsidR="00105CB0" w:rsidRDefault="00000000">
          <w:pPr>
            <w:pStyle w:val="TOC2"/>
            <w:tabs>
              <w:tab w:val="right" w:leader="dot" w:pos="9016"/>
            </w:tabs>
            <w:rPr>
              <w:rFonts w:eastAsiaTheme="minorEastAsia" w:cstheme="minorBidi"/>
              <w:b w:val="0"/>
              <w:bCs w:val="0"/>
              <w:smallCaps w:val="0"/>
              <w:noProof/>
              <w:kern w:val="2"/>
              <w:sz w:val="24"/>
              <w:szCs w:val="24"/>
              <w:lang w:eastAsia="en-GB" w:bidi="he-IL"/>
              <w14:ligatures w14:val="standardContextual"/>
            </w:rPr>
          </w:pPr>
          <w:hyperlink w:anchor="_Toc132806686" w:history="1">
            <w:r w:rsidR="00105CB0" w:rsidRPr="00DD3337">
              <w:rPr>
                <w:rStyle w:val="Hyperlink"/>
                <w:noProof/>
              </w:rPr>
              <w:t>Legend</w:t>
            </w:r>
            <w:r w:rsidR="00105CB0">
              <w:rPr>
                <w:noProof/>
                <w:webHidden/>
              </w:rPr>
              <w:tab/>
            </w:r>
            <w:r w:rsidR="00105CB0">
              <w:rPr>
                <w:noProof/>
                <w:webHidden/>
              </w:rPr>
              <w:fldChar w:fldCharType="begin"/>
            </w:r>
            <w:r w:rsidR="00105CB0">
              <w:rPr>
                <w:noProof/>
                <w:webHidden/>
              </w:rPr>
              <w:instrText xml:space="preserve"> PAGEREF _Toc132806686 \h </w:instrText>
            </w:r>
            <w:r w:rsidR="00105CB0">
              <w:rPr>
                <w:noProof/>
                <w:webHidden/>
              </w:rPr>
            </w:r>
            <w:r w:rsidR="00105CB0">
              <w:rPr>
                <w:noProof/>
                <w:webHidden/>
              </w:rPr>
              <w:fldChar w:fldCharType="separate"/>
            </w:r>
            <w:r w:rsidR="00105CB0">
              <w:rPr>
                <w:noProof/>
                <w:webHidden/>
              </w:rPr>
              <w:t>4</w:t>
            </w:r>
            <w:r w:rsidR="00105CB0">
              <w:rPr>
                <w:noProof/>
                <w:webHidden/>
              </w:rPr>
              <w:fldChar w:fldCharType="end"/>
            </w:r>
          </w:hyperlink>
        </w:p>
        <w:p w14:paraId="4714C869" w14:textId="6AB8070A" w:rsidR="00105CB0" w:rsidRDefault="00000000">
          <w:pPr>
            <w:pStyle w:val="TOC2"/>
            <w:tabs>
              <w:tab w:val="right" w:leader="dot" w:pos="9016"/>
            </w:tabs>
            <w:rPr>
              <w:rFonts w:eastAsiaTheme="minorEastAsia" w:cstheme="minorBidi"/>
              <w:b w:val="0"/>
              <w:bCs w:val="0"/>
              <w:smallCaps w:val="0"/>
              <w:noProof/>
              <w:kern w:val="2"/>
              <w:sz w:val="24"/>
              <w:szCs w:val="24"/>
              <w:lang w:eastAsia="en-GB" w:bidi="he-IL"/>
              <w14:ligatures w14:val="standardContextual"/>
            </w:rPr>
          </w:pPr>
          <w:hyperlink w:anchor="_Toc132806687" w:history="1">
            <w:r w:rsidR="00105CB0" w:rsidRPr="00DD3337">
              <w:rPr>
                <w:rStyle w:val="Hyperlink"/>
                <w:noProof/>
              </w:rPr>
              <w:t>Summarized Finding</w:t>
            </w:r>
            <w:r w:rsidR="00105CB0">
              <w:rPr>
                <w:noProof/>
                <w:webHidden/>
              </w:rPr>
              <w:tab/>
            </w:r>
            <w:r w:rsidR="00105CB0">
              <w:rPr>
                <w:noProof/>
                <w:webHidden/>
              </w:rPr>
              <w:fldChar w:fldCharType="begin"/>
            </w:r>
            <w:r w:rsidR="00105CB0">
              <w:rPr>
                <w:noProof/>
                <w:webHidden/>
              </w:rPr>
              <w:instrText xml:space="preserve"> PAGEREF _Toc132806687 \h </w:instrText>
            </w:r>
            <w:r w:rsidR="00105CB0">
              <w:rPr>
                <w:noProof/>
                <w:webHidden/>
              </w:rPr>
            </w:r>
            <w:r w:rsidR="00105CB0">
              <w:rPr>
                <w:noProof/>
                <w:webHidden/>
              </w:rPr>
              <w:fldChar w:fldCharType="separate"/>
            </w:r>
            <w:r w:rsidR="00105CB0">
              <w:rPr>
                <w:noProof/>
                <w:webHidden/>
              </w:rPr>
              <w:t>5</w:t>
            </w:r>
            <w:r w:rsidR="00105CB0">
              <w:rPr>
                <w:noProof/>
                <w:webHidden/>
              </w:rPr>
              <w:fldChar w:fldCharType="end"/>
            </w:r>
          </w:hyperlink>
        </w:p>
        <w:p w14:paraId="03594D0C" w14:textId="3883B925" w:rsidR="00105CB0" w:rsidRDefault="00000000">
          <w:pPr>
            <w:pStyle w:val="TOC1"/>
            <w:tabs>
              <w:tab w:val="right" w:leader="dot" w:pos="9016"/>
            </w:tabs>
            <w:rPr>
              <w:rFonts w:eastAsiaTheme="minorEastAsia" w:cstheme="minorBidi"/>
              <w:b w:val="0"/>
              <w:bCs w:val="0"/>
              <w:caps w:val="0"/>
              <w:noProof/>
              <w:kern w:val="2"/>
              <w:sz w:val="24"/>
              <w:szCs w:val="24"/>
              <w:u w:val="none"/>
              <w:lang w:eastAsia="en-GB" w:bidi="he-IL"/>
              <w14:ligatures w14:val="standardContextual"/>
            </w:rPr>
          </w:pPr>
          <w:hyperlink w:anchor="_Toc132806688" w:history="1">
            <w:r w:rsidR="00105CB0" w:rsidRPr="00DD3337">
              <w:rPr>
                <w:rStyle w:val="Hyperlink"/>
                <w:noProof/>
              </w:rPr>
              <w:t>ApPendix II</w:t>
            </w:r>
            <w:r w:rsidR="00105CB0">
              <w:rPr>
                <w:noProof/>
                <w:webHidden/>
              </w:rPr>
              <w:tab/>
            </w:r>
            <w:r w:rsidR="00105CB0">
              <w:rPr>
                <w:noProof/>
                <w:webHidden/>
              </w:rPr>
              <w:fldChar w:fldCharType="begin"/>
            </w:r>
            <w:r w:rsidR="00105CB0">
              <w:rPr>
                <w:noProof/>
                <w:webHidden/>
              </w:rPr>
              <w:instrText xml:space="preserve"> PAGEREF _Toc132806688 \h </w:instrText>
            </w:r>
            <w:r w:rsidR="00105CB0">
              <w:rPr>
                <w:noProof/>
                <w:webHidden/>
              </w:rPr>
            </w:r>
            <w:r w:rsidR="00105CB0">
              <w:rPr>
                <w:noProof/>
                <w:webHidden/>
              </w:rPr>
              <w:fldChar w:fldCharType="separate"/>
            </w:r>
            <w:r w:rsidR="00105CB0">
              <w:rPr>
                <w:noProof/>
                <w:webHidden/>
              </w:rPr>
              <w:t>11</w:t>
            </w:r>
            <w:r w:rsidR="00105CB0">
              <w:rPr>
                <w:noProof/>
                <w:webHidden/>
              </w:rPr>
              <w:fldChar w:fldCharType="end"/>
            </w:r>
          </w:hyperlink>
        </w:p>
        <w:p w14:paraId="13ED843A" w14:textId="1F4F497E"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689" w:history="1">
            <w:r w:rsidR="00105CB0" w:rsidRPr="00DD3337">
              <w:rPr>
                <w:rStyle w:val="Hyperlink"/>
                <w:noProof/>
              </w:rPr>
              <w:t>Albania</w:t>
            </w:r>
            <w:r w:rsidR="00105CB0">
              <w:rPr>
                <w:noProof/>
                <w:webHidden/>
              </w:rPr>
              <w:tab/>
            </w:r>
            <w:r w:rsidR="00105CB0">
              <w:rPr>
                <w:noProof/>
                <w:webHidden/>
              </w:rPr>
              <w:fldChar w:fldCharType="begin"/>
            </w:r>
            <w:r w:rsidR="00105CB0">
              <w:rPr>
                <w:noProof/>
                <w:webHidden/>
              </w:rPr>
              <w:instrText xml:space="preserve"> PAGEREF _Toc132806689 \h </w:instrText>
            </w:r>
            <w:r w:rsidR="00105CB0">
              <w:rPr>
                <w:noProof/>
                <w:webHidden/>
              </w:rPr>
            </w:r>
            <w:r w:rsidR="00105CB0">
              <w:rPr>
                <w:noProof/>
                <w:webHidden/>
              </w:rPr>
              <w:fldChar w:fldCharType="separate"/>
            </w:r>
            <w:r w:rsidR="00105CB0">
              <w:rPr>
                <w:noProof/>
                <w:webHidden/>
              </w:rPr>
              <w:t>11</w:t>
            </w:r>
            <w:r w:rsidR="00105CB0">
              <w:rPr>
                <w:noProof/>
                <w:webHidden/>
              </w:rPr>
              <w:fldChar w:fldCharType="end"/>
            </w:r>
          </w:hyperlink>
        </w:p>
        <w:p w14:paraId="19F667C2" w14:textId="1630DE90"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690" w:history="1">
            <w:r w:rsidR="00105CB0" w:rsidRPr="00DD3337">
              <w:rPr>
                <w:rStyle w:val="Hyperlink"/>
                <w:noProof/>
              </w:rPr>
              <w:t>Andorra</w:t>
            </w:r>
            <w:r w:rsidR="00105CB0">
              <w:rPr>
                <w:noProof/>
                <w:webHidden/>
              </w:rPr>
              <w:tab/>
            </w:r>
            <w:r w:rsidR="00105CB0">
              <w:rPr>
                <w:noProof/>
                <w:webHidden/>
              </w:rPr>
              <w:fldChar w:fldCharType="begin"/>
            </w:r>
            <w:r w:rsidR="00105CB0">
              <w:rPr>
                <w:noProof/>
                <w:webHidden/>
              </w:rPr>
              <w:instrText xml:space="preserve"> PAGEREF _Toc132806690 \h </w:instrText>
            </w:r>
            <w:r w:rsidR="00105CB0">
              <w:rPr>
                <w:noProof/>
                <w:webHidden/>
              </w:rPr>
            </w:r>
            <w:r w:rsidR="00105CB0">
              <w:rPr>
                <w:noProof/>
                <w:webHidden/>
              </w:rPr>
              <w:fldChar w:fldCharType="separate"/>
            </w:r>
            <w:r w:rsidR="00105CB0">
              <w:rPr>
                <w:noProof/>
                <w:webHidden/>
              </w:rPr>
              <w:t>16</w:t>
            </w:r>
            <w:r w:rsidR="00105CB0">
              <w:rPr>
                <w:noProof/>
                <w:webHidden/>
              </w:rPr>
              <w:fldChar w:fldCharType="end"/>
            </w:r>
          </w:hyperlink>
        </w:p>
        <w:p w14:paraId="1CF74A48" w14:textId="2FF538B2"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691" w:history="1">
            <w:r w:rsidR="00105CB0" w:rsidRPr="00DD3337">
              <w:rPr>
                <w:rStyle w:val="Hyperlink"/>
                <w:noProof/>
              </w:rPr>
              <w:t>Armenia</w:t>
            </w:r>
            <w:r w:rsidR="00105CB0">
              <w:rPr>
                <w:noProof/>
                <w:webHidden/>
              </w:rPr>
              <w:tab/>
            </w:r>
            <w:r w:rsidR="00105CB0">
              <w:rPr>
                <w:noProof/>
                <w:webHidden/>
              </w:rPr>
              <w:fldChar w:fldCharType="begin"/>
            </w:r>
            <w:r w:rsidR="00105CB0">
              <w:rPr>
                <w:noProof/>
                <w:webHidden/>
              </w:rPr>
              <w:instrText xml:space="preserve"> PAGEREF _Toc132806691 \h </w:instrText>
            </w:r>
            <w:r w:rsidR="00105CB0">
              <w:rPr>
                <w:noProof/>
                <w:webHidden/>
              </w:rPr>
            </w:r>
            <w:r w:rsidR="00105CB0">
              <w:rPr>
                <w:noProof/>
                <w:webHidden/>
              </w:rPr>
              <w:fldChar w:fldCharType="separate"/>
            </w:r>
            <w:r w:rsidR="00105CB0">
              <w:rPr>
                <w:noProof/>
                <w:webHidden/>
              </w:rPr>
              <w:t>16</w:t>
            </w:r>
            <w:r w:rsidR="00105CB0">
              <w:rPr>
                <w:noProof/>
                <w:webHidden/>
              </w:rPr>
              <w:fldChar w:fldCharType="end"/>
            </w:r>
          </w:hyperlink>
        </w:p>
        <w:p w14:paraId="55E96699" w14:textId="5B5DEE26"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692" w:history="1">
            <w:r w:rsidR="00105CB0" w:rsidRPr="00DD3337">
              <w:rPr>
                <w:rStyle w:val="Hyperlink"/>
                <w:noProof/>
              </w:rPr>
              <w:t>Austria</w:t>
            </w:r>
            <w:r w:rsidR="00105CB0">
              <w:rPr>
                <w:noProof/>
                <w:webHidden/>
              </w:rPr>
              <w:tab/>
            </w:r>
            <w:r w:rsidR="00105CB0">
              <w:rPr>
                <w:noProof/>
                <w:webHidden/>
              </w:rPr>
              <w:fldChar w:fldCharType="begin"/>
            </w:r>
            <w:r w:rsidR="00105CB0">
              <w:rPr>
                <w:noProof/>
                <w:webHidden/>
              </w:rPr>
              <w:instrText xml:space="preserve"> PAGEREF _Toc132806692 \h </w:instrText>
            </w:r>
            <w:r w:rsidR="00105CB0">
              <w:rPr>
                <w:noProof/>
                <w:webHidden/>
              </w:rPr>
            </w:r>
            <w:r w:rsidR="00105CB0">
              <w:rPr>
                <w:noProof/>
                <w:webHidden/>
              </w:rPr>
              <w:fldChar w:fldCharType="separate"/>
            </w:r>
            <w:r w:rsidR="00105CB0">
              <w:rPr>
                <w:noProof/>
                <w:webHidden/>
              </w:rPr>
              <w:t>19</w:t>
            </w:r>
            <w:r w:rsidR="00105CB0">
              <w:rPr>
                <w:noProof/>
                <w:webHidden/>
              </w:rPr>
              <w:fldChar w:fldCharType="end"/>
            </w:r>
          </w:hyperlink>
        </w:p>
        <w:p w14:paraId="7611EF7E" w14:textId="4F0BC7D1"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693" w:history="1">
            <w:r w:rsidR="00105CB0" w:rsidRPr="00DD3337">
              <w:rPr>
                <w:rStyle w:val="Hyperlink"/>
                <w:noProof/>
              </w:rPr>
              <w:t>Azerbaijan</w:t>
            </w:r>
            <w:r w:rsidR="00105CB0">
              <w:rPr>
                <w:noProof/>
                <w:webHidden/>
              </w:rPr>
              <w:tab/>
            </w:r>
            <w:r w:rsidR="00105CB0">
              <w:rPr>
                <w:noProof/>
                <w:webHidden/>
              </w:rPr>
              <w:fldChar w:fldCharType="begin"/>
            </w:r>
            <w:r w:rsidR="00105CB0">
              <w:rPr>
                <w:noProof/>
                <w:webHidden/>
              </w:rPr>
              <w:instrText xml:space="preserve"> PAGEREF _Toc132806693 \h </w:instrText>
            </w:r>
            <w:r w:rsidR="00105CB0">
              <w:rPr>
                <w:noProof/>
                <w:webHidden/>
              </w:rPr>
            </w:r>
            <w:r w:rsidR="00105CB0">
              <w:rPr>
                <w:noProof/>
                <w:webHidden/>
              </w:rPr>
              <w:fldChar w:fldCharType="separate"/>
            </w:r>
            <w:r w:rsidR="00105CB0">
              <w:rPr>
                <w:noProof/>
                <w:webHidden/>
              </w:rPr>
              <w:t>20</w:t>
            </w:r>
            <w:r w:rsidR="00105CB0">
              <w:rPr>
                <w:noProof/>
                <w:webHidden/>
              </w:rPr>
              <w:fldChar w:fldCharType="end"/>
            </w:r>
          </w:hyperlink>
        </w:p>
        <w:p w14:paraId="291DB4E7" w14:textId="2D8600AF"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694" w:history="1">
            <w:r w:rsidR="00105CB0" w:rsidRPr="00DD3337">
              <w:rPr>
                <w:rStyle w:val="Hyperlink"/>
                <w:noProof/>
              </w:rPr>
              <w:t>Belarus</w:t>
            </w:r>
            <w:r w:rsidR="00105CB0">
              <w:rPr>
                <w:noProof/>
                <w:webHidden/>
              </w:rPr>
              <w:tab/>
            </w:r>
            <w:r w:rsidR="00105CB0">
              <w:rPr>
                <w:noProof/>
                <w:webHidden/>
              </w:rPr>
              <w:fldChar w:fldCharType="begin"/>
            </w:r>
            <w:r w:rsidR="00105CB0">
              <w:rPr>
                <w:noProof/>
                <w:webHidden/>
              </w:rPr>
              <w:instrText xml:space="preserve"> PAGEREF _Toc132806694 \h </w:instrText>
            </w:r>
            <w:r w:rsidR="00105CB0">
              <w:rPr>
                <w:noProof/>
                <w:webHidden/>
              </w:rPr>
            </w:r>
            <w:r w:rsidR="00105CB0">
              <w:rPr>
                <w:noProof/>
                <w:webHidden/>
              </w:rPr>
              <w:fldChar w:fldCharType="separate"/>
            </w:r>
            <w:r w:rsidR="00105CB0">
              <w:rPr>
                <w:noProof/>
                <w:webHidden/>
              </w:rPr>
              <w:t>23</w:t>
            </w:r>
            <w:r w:rsidR="00105CB0">
              <w:rPr>
                <w:noProof/>
                <w:webHidden/>
              </w:rPr>
              <w:fldChar w:fldCharType="end"/>
            </w:r>
          </w:hyperlink>
        </w:p>
        <w:p w14:paraId="73B1CCC5" w14:textId="79451794"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695" w:history="1">
            <w:r w:rsidR="00105CB0" w:rsidRPr="00DD3337">
              <w:rPr>
                <w:rStyle w:val="Hyperlink"/>
                <w:noProof/>
              </w:rPr>
              <w:t>Belgium</w:t>
            </w:r>
            <w:r w:rsidR="00105CB0">
              <w:rPr>
                <w:noProof/>
                <w:webHidden/>
              </w:rPr>
              <w:tab/>
            </w:r>
            <w:r w:rsidR="00105CB0">
              <w:rPr>
                <w:noProof/>
                <w:webHidden/>
              </w:rPr>
              <w:fldChar w:fldCharType="begin"/>
            </w:r>
            <w:r w:rsidR="00105CB0">
              <w:rPr>
                <w:noProof/>
                <w:webHidden/>
              </w:rPr>
              <w:instrText xml:space="preserve"> PAGEREF _Toc132806695 \h </w:instrText>
            </w:r>
            <w:r w:rsidR="00105CB0">
              <w:rPr>
                <w:noProof/>
                <w:webHidden/>
              </w:rPr>
            </w:r>
            <w:r w:rsidR="00105CB0">
              <w:rPr>
                <w:noProof/>
                <w:webHidden/>
              </w:rPr>
              <w:fldChar w:fldCharType="separate"/>
            </w:r>
            <w:r w:rsidR="00105CB0">
              <w:rPr>
                <w:noProof/>
                <w:webHidden/>
              </w:rPr>
              <w:t>23</w:t>
            </w:r>
            <w:r w:rsidR="00105CB0">
              <w:rPr>
                <w:noProof/>
                <w:webHidden/>
              </w:rPr>
              <w:fldChar w:fldCharType="end"/>
            </w:r>
          </w:hyperlink>
        </w:p>
        <w:p w14:paraId="07098D04" w14:textId="088EEED9"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696" w:history="1">
            <w:r w:rsidR="00105CB0" w:rsidRPr="00DD3337">
              <w:rPr>
                <w:rStyle w:val="Hyperlink"/>
                <w:noProof/>
              </w:rPr>
              <w:t>Bosnia and Herzegovina</w:t>
            </w:r>
            <w:r w:rsidR="00105CB0">
              <w:rPr>
                <w:noProof/>
                <w:webHidden/>
              </w:rPr>
              <w:tab/>
            </w:r>
            <w:r w:rsidR="00105CB0">
              <w:rPr>
                <w:noProof/>
                <w:webHidden/>
              </w:rPr>
              <w:fldChar w:fldCharType="begin"/>
            </w:r>
            <w:r w:rsidR="00105CB0">
              <w:rPr>
                <w:noProof/>
                <w:webHidden/>
              </w:rPr>
              <w:instrText xml:space="preserve"> PAGEREF _Toc132806696 \h </w:instrText>
            </w:r>
            <w:r w:rsidR="00105CB0">
              <w:rPr>
                <w:noProof/>
                <w:webHidden/>
              </w:rPr>
            </w:r>
            <w:r w:rsidR="00105CB0">
              <w:rPr>
                <w:noProof/>
                <w:webHidden/>
              </w:rPr>
              <w:fldChar w:fldCharType="separate"/>
            </w:r>
            <w:r w:rsidR="00105CB0">
              <w:rPr>
                <w:noProof/>
                <w:webHidden/>
              </w:rPr>
              <w:t>26</w:t>
            </w:r>
            <w:r w:rsidR="00105CB0">
              <w:rPr>
                <w:noProof/>
                <w:webHidden/>
              </w:rPr>
              <w:fldChar w:fldCharType="end"/>
            </w:r>
          </w:hyperlink>
        </w:p>
        <w:p w14:paraId="14739837" w14:textId="7A0773BE"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697" w:history="1">
            <w:r w:rsidR="00105CB0" w:rsidRPr="00DD3337">
              <w:rPr>
                <w:rStyle w:val="Hyperlink"/>
                <w:noProof/>
              </w:rPr>
              <w:t>Bulgaria</w:t>
            </w:r>
            <w:r w:rsidR="00105CB0">
              <w:rPr>
                <w:noProof/>
                <w:webHidden/>
              </w:rPr>
              <w:tab/>
            </w:r>
            <w:r w:rsidR="00105CB0">
              <w:rPr>
                <w:noProof/>
                <w:webHidden/>
              </w:rPr>
              <w:fldChar w:fldCharType="begin"/>
            </w:r>
            <w:r w:rsidR="00105CB0">
              <w:rPr>
                <w:noProof/>
                <w:webHidden/>
              </w:rPr>
              <w:instrText xml:space="preserve"> PAGEREF _Toc132806697 \h </w:instrText>
            </w:r>
            <w:r w:rsidR="00105CB0">
              <w:rPr>
                <w:noProof/>
                <w:webHidden/>
              </w:rPr>
            </w:r>
            <w:r w:rsidR="00105CB0">
              <w:rPr>
                <w:noProof/>
                <w:webHidden/>
              </w:rPr>
              <w:fldChar w:fldCharType="separate"/>
            </w:r>
            <w:r w:rsidR="00105CB0">
              <w:rPr>
                <w:noProof/>
                <w:webHidden/>
              </w:rPr>
              <w:t>29</w:t>
            </w:r>
            <w:r w:rsidR="00105CB0">
              <w:rPr>
                <w:noProof/>
                <w:webHidden/>
              </w:rPr>
              <w:fldChar w:fldCharType="end"/>
            </w:r>
          </w:hyperlink>
        </w:p>
        <w:p w14:paraId="31A32D94" w14:textId="6E82F2AB"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698" w:history="1">
            <w:r w:rsidR="00105CB0" w:rsidRPr="00DD3337">
              <w:rPr>
                <w:rStyle w:val="Hyperlink"/>
                <w:noProof/>
              </w:rPr>
              <w:t>Croatia</w:t>
            </w:r>
            <w:r w:rsidR="00105CB0">
              <w:rPr>
                <w:noProof/>
                <w:webHidden/>
              </w:rPr>
              <w:tab/>
            </w:r>
            <w:r w:rsidR="00105CB0">
              <w:rPr>
                <w:noProof/>
                <w:webHidden/>
              </w:rPr>
              <w:fldChar w:fldCharType="begin"/>
            </w:r>
            <w:r w:rsidR="00105CB0">
              <w:rPr>
                <w:noProof/>
                <w:webHidden/>
              </w:rPr>
              <w:instrText xml:space="preserve"> PAGEREF _Toc132806698 \h </w:instrText>
            </w:r>
            <w:r w:rsidR="00105CB0">
              <w:rPr>
                <w:noProof/>
                <w:webHidden/>
              </w:rPr>
            </w:r>
            <w:r w:rsidR="00105CB0">
              <w:rPr>
                <w:noProof/>
                <w:webHidden/>
              </w:rPr>
              <w:fldChar w:fldCharType="separate"/>
            </w:r>
            <w:r w:rsidR="00105CB0">
              <w:rPr>
                <w:noProof/>
                <w:webHidden/>
              </w:rPr>
              <w:t>33</w:t>
            </w:r>
            <w:r w:rsidR="00105CB0">
              <w:rPr>
                <w:noProof/>
                <w:webHidden/>
              </w:rPr>
              <w:fldChar w:fldCharType="end"/>
            </w:r>
          </w:hyperlink>
        </w:p>
        <w:p w14:paraId="5C185810" w14:textId="311D971F"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699" w:history="1">
            <w:r w:rsidR="00105CB0" w:rsidRPr="00DD3337">
              <w:rPr>
                <w:rStyle w:val="Hyperlink"/>
                <w:noProof/>
              </w:rPr>
              <w:t>Cyprus</w:t>
            </w:r>
            <w:r w:rsidR="00105CB0">
              <w:rPr>
                <w:noProof/>
                <w:webHidden/>
              </w:rPr>
              <w:tab/>
            </w:r>
            <w:r w:rsidR="00105CB0">
              <w:rPr>
                <w:noProof/>
                <w:webHidden/>
              </w:rPr>
              <w:fldChar w:fldCharType="begin"/>
            </w:r>
            <w:r w:rsidR="00105CB0">
              <w:rPr>
                <w:noProof/>
                <w:webHidden/>
              </w:rPr>
              <w:instrText xml:space="preserve"> PAGEREF _Toc132806699 \h </w:instrText>
            </w:r>
            <w:r w:rsidR="00105CB0">
              <w:rPr>
                <w:noProof/>
                <w:webHidden/>
              </w:rPr>
            </w:r>
            <w:r w:rsidR="00105CB0">
              <w:rPr>
                <w:noProof/>
                <w:webHidden/>
              </w:rPr>
              <w:fldChar w:fldCharType="separate"/>
            </w:r>
            <w:r w:rsidR="00105CB0">
              <w:rPr>
                <w:noProof/>
                <w:webHidden/>
              </w:rPr>
              <w:t>38</w:t>
            </w:r>
            <w:r w:rsidR="00105CB0">
              <w:rPr>
                <w:noProof/>
                <w:webHidden/>
              </w:rPr>
              <w:fldChar w:fldCharType="end"/>
            </w:r>
          </w:hyperlink>
        </w:p>
        <w:p w14:paraId="2CF73ABA" w14:textId="6240615A"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00" w:history="1">
            <w:r w:rsidR="00105CB0" w:rsidRPr="00DD3337">
              <w:rPr>
                <w:rStyle w:val="Hyperlink"/>
                <w:noProof/>
              </w:rPr>
              <w:t>Czechia</w:t>
            </w:r>
            <w:r w:rsidR="00105CB0">
              <w:rPr>
                <w:noProof/>
                <w:webHidden/>
              </w:rPr>
              <w:tab/>
            </w:r>
            <w:r w:rsidR="00105CB0">
              <w:rPr>
                <w:noProof/>
                <w:webHidden/>
              </w:rPr>
              <w:fldChar w:fldCharType="begin"/>
            </w:r>
            <w:r w:rsidR="00105CB0">
              <w:rPr>
                <w:noProof/>
                <w:webHidden/>
              </w:rPr>
              <w:instrText xml:space="preserve"> PAGEREF _Toc132806700 \h </w:instrText>
            </w:r>
            <w:r w:rsidR="00105CB0">
              <w:rPr>
                <w:noProof/>
                <w:webHidden/>
              </w:rPr>
            </w:r>
            <w:r w:rsidR="00105CB0">
              <w:rPr>
                <w:noProof/>
                <w:webHidden/>
              </w:rPr>
              <w:fldChar w:fldCharType="separate"/>
            </w:r>
            <w:r w:rsidR="00105CB0">
              <w:rPr>
                <w:noProof/>
                <w:webHidden/>
              </w:rPr>
              <w:t>41</w:t>
            </w:r>
            <w:r w:rsidR="00105CB0">
              <w:rPr>
                <w:noProof/>
                <w:webHidden/>
              </w:rPr>
              <w:fldChar w:fldCharType="end"/>
            </w:r>
          </w:hyperlink>
        </w:p>
        <w:p w14:paraId="2394AE0A" w14:textId="3B86DFB5"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01" w:history="1">
            <w:r w:rsidR="00105CB0" w:rsidRPr="00DD3337">
              <w:rPr>
                <w:rStyle w:val="Hyperlink"/>
                <w:noProof/>
              </w:rPr>
              <w:t>Denmark</w:t>
            </w:r>
            <w:r w:rsidR="00105CB0">
              <w:rPr>
                <w:noProof/>
                <w:webHidden/>
              </w:rPr>
              <w:tab/>
            </w:r>
            <w:r w:rsidR="00105CB0">
              <w:rPr>
                <w:noProof/>
                <w:webHidden/>
              </w:rPr>
              <w:fldChar w:fldCharType="begin"/>
            </w:r>
            <w:r w:rsidR="00105CB0">
              <w:rPr>
                <w:noProof/>
                <w:webHidden/>
              </w:rPr>
              <w:instrText xml:space="preserve"> PAGEREF _Toc132806701 \h </w:instrText>
            </w:r>
            <w:r w:rsidR="00105CB0">
              <w:rPr>
                <w:noProof/>
                <w:webHidden/>
              </w:rPr>
            </w:r>
            <w:r w:rsidR="00105CB0">
              <w:rPr>
                <w:noProof/>
                <w:webHidden/>
              </w:rPr>
              <w:fldChar w:fldCharType="separate"/>
            </w:r>
            <w:r w:rsidR="00105CB0">
              <w:rPr>
                <w:noProof/>
                <w:webHidden/>
              </w:rPr>
              <w:t>43</w:t>
            </w:r>
            <w:r w:rsidR="00105CB0">
              <w:rPr>
                <w:noProof/>
                <w:webHidden/>
              </w:rPr>
              <w:fldChar w:fldCharType="end"/>
            </w:r>
          </w:hyperlink>
        </w:p>
        <w:p w14:paraId="19E57F84" w14:textId="447EAF7F"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02" w:history="1">
            <w:r w:rsidR="00105CB0" w:rsidRPr="00DD3337">
              <w:rPr>
                <w:rStyle w:val="Hyperlink"/>
                <w:noProof/>
              </w:rPr>
              <w:t>Estonia</w:t>
            </w:r>
            <w:r w:rsidR="00105CB0">
              <w:rPr>
                <w:noProof/>
                <w:webHidden/>
              </w:rPr>
              <w:tab/>
            </w:r>
            <w:r w:rsidR="00105CB0">
              <w:rPr>
                <w:noProof/>
                <w:webHidden/>
              </w:rPr>
              <w:fldChar w:fldCharType="begin"/>
            </w:r>
            <w:r w:rsidR="00105CB0">
              <w:rPr>
                <w:noProof/>
                <w:webHidden/>
              </w:rPr>
              <w:instrText xml:space="preserve"> PAGEREF _Toc132806702 \h </w:instrText>
            </w:r>
            <w:r w:rsidR="00105CB0">
              <w:rPr>
                <w:noProof/>
                <w:webHidden/>
              </w:rPr>
            </w:r>
            <w:r w:rsidR="00105CB0">
              <w:rPr>
                <w:noProof/>
                <w:webHidden/>
              </w:rPr>
              <w:fldChar w:fldCharType="separate"/>
            </w:r>
            <w:r w:rsidR="00105CB0">
              <w:rPr>
                <w:noProof/>
                <w:webHidden/>
              </w:rPr>
              <w:t>45</w:t>
            </w:r>
            <w:r w:rsidR="00105CB0">
              <w:rPr>
                <w:noProof/>
                <w:webHidden/>
              </w:rPr>
              <w:fldChar w:fldCharType="end"/>
            </w:r>
          </w:hyperlink>
        </w:p>
        <w:p w14:paraId="1459A22E" w14:textId="5E599687"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03" w:history="1">
            <w:r w:rsidR="00105CB0" w:rsidRPr="00DD3337">
              <w:rPr>
                <w:rStyle w:val="Hyperlink"/>
                <w:noProof/>
              </w:rPr>
              <w:t>Finland</w:t>
            </w:r>
            <w:r w:rsidR="00105CB0">
              <w:rPr>
                <w:noProof/>
                <w:webHidden/>
              </w:rPr>
              <w:tab/>
            </w:r>
            <w:r w:rsidR="00105CB0">
              <w:rPr>
                <w:noProof/>
                <w:webHidden/>
              </w:rPr>
              <w:fldChar w:fldCharType="begin"/>
            </w:r>
            <w:r w:rsidR="00105CB0">
              <w:rPr>
                <w:noProof/>
                <w:webHidden/>
              </w:rPr>
              <w:instrText xml:space="preserve"> PAGEREF _Toc132806703 \h </w:instrText>
            </w:r>
            <w:r w:rsidR="00105CB0">
              <w:rPr>
                <w:noProof/>
                <w:webHidden/>
              </w:rPr>
            </w:r>
            <w:r w:rsidR="00105CB0">
              <w:rPr>
                <w:noProof/>
                <w:webHidden/>
              </w:rPr>
              <w:fldChar w:fldCharType="separate"/>
            </w:r>
            <w:r w:rsidR="00105CB0">
              <w:rPr>
                <w:noProof/>
                <w:webHidden/>
              </w:rPr>
              <w:t>49</w:t>
            </w:r>
            <w:r w:rsidR="00105CB0">
              <w:rPr>
                <w:noProof/>
                <w:webHidden/>
              </w:rPr>
              <w:fldChar w:fldCharType="end"/>
            </w:r>
          </w:hyperlink>
        </w:p>
        <w:p w14:paraId="4DAF6D2A" w14:textId="09FEF216"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04" w:history="1">
            <w:r w:rsidR="00105CB0" w:rsidRPr="00DD3337">
              <w:rPr>
                <w:rStyle w:val="Hyperlink"/>
                <w:noProof/>
              </w:rPr>
              <w:t>France</w:t>
            </w:r>
            <w:r w:rsidR="00105CB0">
              <w:rPr>
                <w:noProof/>
                <w:webHidden/>
              </w:rPr>
              <w:tab/>
            </w:r>
            <w:r w:rsidR="00105CB0">
              <w:rPr>
                <w:noProof/>
                <w:webHidden/>
              </w:rPr>
              <w:fldChar w:fldCharType="begin"/>
            </w:r>
            <w:r w:rsidR="00105CB0">
              <w:rPr>
                <w:noProof/>
                <w:webHidden/>
              </w:rPr>
              <w:instrText xml:space="preserve"> PAGEREF _Toc132806704 \h </w:instrText>
            </w:r>
            <w:r w:rsidR="00105CB0">
              <w:rPr>
                <w:noProof/>
                <w:webHidden/>
              </w:rPr>
            </w:r>
            <w:r w:rsidR="00105CB0">
              <w:rPr>
                <w:noProof/>
                <w:webHidden/>
              </w:rPr>
              <w:fldChar w:fldCharType="separate"/>
            </w:r>
            <w:r w:rsidR="00105CB0">
              <w:rPr>
                <w:noProof/>
                <w:webHidden/>
              </w:rPr>
              <w:t>52</w:t>
            </w:r>
            <w:r w:rsidR="00105CB0">
              <w:rPr>
                <w:noProof/>
                <w:webHidden/>
              </w:rPr>
              <w:fldChar w:fldCharType="end"/>
            </w:r>
          </w:hyperlink>
        </w:p>
        <w:p w14:paraId="5DFBD5C6" w14:textId="5B8E15CD"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05" w:history="1">
            <w:r w:rsidR="00105CB0" w:rsidRPr="00DD3337">
              <w:rPr>
                <w:rStyle w:val="Hyperlink"/>
                <w:noProof/>
              </w:rPr>
              <w:t>Georgia</w:t>
            </w:r>
            <w:r w:rsidR="00105CB0">
              <w:rPr>
                <w:noProof/>
                <w:webHidden/>
              </w:rPr>
              <w:tab/>
            </w:r>
            <w:r w:rsidR="00105CB0">
              <w:rPr>
                <w:noProof/>
                <w:webHidden/>
              </w:rPr>
              <w:fldChar w:fldCharType="begin"/>
            </w:r>
            <w:r w:rsidR="00105CB0">
              <w:rPr>
                <w:noProof/>
                <w:webHidden/>
              </w:rPr>
              <w:instrText xml:space="preserve"> PAGEREF _Toc132806705 \h </w:instrText>
            </w:r>
            <w:r w:rsidR="00105CB0">
              <w:rPr>
                <w:noProof/>
                <w:webHidden/>
              </w:rPr>
            </w:r>
            <w:r w:rsidR="00105CB0">
              <w:rPr>
                <w:noProof/>
                <w:webHidden/>
              </w:rPr>
              <w:fldChar w:fldCharType="separate"/>
            </w:r>
            <w:r w:rsidR="00105CB0">
              <w:rPr>
                <w:noProof/>
                <w:webHidden/>
              </w:rPr>
              <w:t>55</w:t>
            </w:r>
            <w:r w:rsidR="00105CB0">
              <w:rPr>
                <w:noProof/>
                <w:webHidden/>
              </w:rPr>
              <w:fldChar w:fldCharType="end"/>
            </w:r>
          </w:hyperlink>
        </w:p>
        <w:p w14:paraId="2144EDE4" w14:textId="1EEEFE17"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06" w:history="1">
            <w:r w:rsidR="00105CB0" w:rsidRPr="00DD3337">
              <w:rPr>
                <w:rStyle w:val="Hyperlink"/>
                <w:noProof/>
              </w:rPr>
              <w:t>Germany</w:t>
            </w:r>
            <w:r w:rsidR="00105CB0">
              <w:rPr>
                <w:noProof/>
                <w:webHidden/>
              </w:rPr>
              <w:tab/>
            </w:r>
            <w:r w:rsidR="00105CB0">
              <w:rPr>
                <w:noProof/>
                <w:webHidden/>
              </w:rPr>
              <w:fldChar w:fldCharType="begin"/>
            </w:r>
            <w:r w:rsidR="00105CB0">
              <w:rPr>
                <w:noProof/>
                <w:webHidden/>
              </w:rPr>
              <w:instrText xml:space="preserve"> PAGEREF _Toc132806706 \h </w:instrText>
            </w:r>
            <w:r w:rsidR="00105CB0">
              <w:rPr>
                <w:noProof/>
                <w:webHidden/>
              </w:rPr>
            </w:r>
            <w:r w:rsidR="00105CB0">
              <w:rPr>
                <w:noProof/>
                <w:webHidden/>
              </w:rPr>
              <w:fldChar w:fldCharType="separate"/>
            </w:r>
            <w:r w:rsidR="00105CB0">
              <w:rPr>
                <w:noProof/>
                <w:webHidden/>
              </w:rPr>
              <w:t>58</w:t>
            </w:r>
            <w:r w:rsidR="00105CB0">
              <w:rPr>
                <w:noProof/>
                <w:webHidden/>
              </w:rPr>
              <w:fldChar w:fldCharType="end"/>
            </w:r>
          </w:hyperlink>
        </w:p>
        <w:p w14:paraId="6C66F8F3" w14:textId="3802BEFD"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07" w:history="1">
            <w:r w:rsidR="00105CB0" w:rsidRPr="00DD3337">
              <w:rPr>
                <w:rStyle w:val="Hyperlink"/>
                <w:noProof/>
              </w:rPr>
              <w:t>Greece</w:t>
            </w:r>
            <w:r w:rsidR="00105CB0">
              <w:rPr>
                <w:noProof/>
                <w:webHidden/>
              </w:rPr>
              <w:tab/>
            </w:r>
            <w:r w:rsidR="00105CB0">
              <w:rPr>
                <w:noProof/>
                <w:webHidden/>
              </w:rPr>
              <w:fldChar w:fldCharType="begin"/>
            </w:r>
            <w:r w:rsidR="00105CB0">
              <w:rPr>
                <w:noProof/>
                <w:webHidden/>
              </w:rPr>
              <w:instrText xml:space="preserve"> PAGEREF _Toc132806707 \h </w:instrText>
            </w:r>
            <w:r w:rsidR="00105CB0">
              <w:rPr>
                <w:noProof/>
                <w:webHidden/>
              </w:rPr>
            </w:r>
            <w:r w:rsidR="00105CB0">
              <w:rPr>
                <w:noProof/>
                <w:webHidden/>
              </w:rPr>
              <w:fldChar w:fldCharType="separate"/>
            </w:r>
            <w:r w:rsidR="00105CB0">
              <w:rPr>
                <w:noProof/>
                <w:webHidden/>
              </w:rPr>
              <w:t>59</w:t>
            </w:r>
            <w:r w:rsidR="00105CB0">
              <w:rPr>
                <w:noProof/>
                <w:webHidden/>
              </w:rPr>
              <w:fldChar w:fldCharType="end"/>
            </w:r>
          </w:hyperlink>
        </w:p>
        <w:p w14:paraId="45697A2A" w14:textId="20BED9E0"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08" w:history="1">
            <w:r w:rsidR="00105CB0" w:rsidRPr="00DD3337">
              <w:rPr>
                <w:rStyle w:val="Hyperlink"/>
                <w:noProof/>
              </w:rPr>
              <w:t>Hungary</w:t>
            </w:r>
            <w:r w:rsidR="00105CB0">
              <w:rPr>
                <w:noProof/>
                <w:webHidden/>
              </w:rPr>
              <w:tab/>
            </w:r>
            <w:r w:rsidR="00105CB0">
              <w:rPr>
                <w:noProof/>
                <w:webHidden/>
              </w:rPr>
              <w:fldChar w:fldCharType="begin"/>
            </w:r>
            <w:r w:rsidR="00105CB0">
              <w:rPr>
                <w:noProof/>
                <w:webHidden/>
              </w:rPr>
              <w:instrText xml:space="preserve"> PAGEREF _Toc132806708 \h </w:instrText>
            </w:r>
            <w:r w:rsidR="00105CB0">
              <w:rPr>
                <w:noProof/>
                <w:webHidden/>
              </w:rPr>
            </w:r>
            <w:r w:rsidR="00105CB0">
              <w:rPr>
                <w:noProof/>
                <w:webHidden/>
              </w:rPr>
              <w:fldChar w:fldCharType="separate"/>
            </w:r>
            <w:r w:rsidR="00105CB0">
              <w:rPr>
                <w:noProof/>
                <w:webHidden/>
              </w:rPr>
              <w:t>61</w:t>
            </w:r>
            <w:r w:rsidR="00105CB0">
              <w:rPr>
                <w:noProof/>
                <w:webHidden/>
              </w:rPr>
              <w:fldChar w:fldCharType="end"/>
            </w:r>
          </w:hyperlink>
        </w:p>
        <w:p w14:paraId="7A8068B5" w14:textId="7514303E"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09" w:history="1">
            <w:r w:rsidR="00105CB0" w:rsidRPr="00DD3337">
              <w:rPr>
                <w:rStyle w:val="Hyperlink"/>
                <w:noProof/>
              </w:rPr>
              <w:t>Iceland</w:t>
            </w:r>
            <w:r w:rsidR="00105CB0">
              <w:rPr>
                <w:noProof/>
                <w:webHidden/>
              </w:rPr>
              <w:tab/>
            </w:r>
            <w:r w:rsidR="00105CB0">
              <w:rPr>
                <w:noProof/>
                <w:webHidden/>
              </w:rPr>
              <w:fldChar w:fldCharType="begin"/>
            </w:r>
            <w:r w:rsidR="00105CB0">
              <w:rPr>
                <w:noProof/>
                <w:webHidden/>
              </w:rPr>
              <w:instrText xml:space="preserve"> PAGEREF _Toc132806709 \h </w:instrText>
            </w:r>
            <w:r w:rsidR="00105CB0">
              <w:rPr>
                <w:noProof/>
                <w:webHidden/>
              </w:rPr>
            </w:r>
            <w:r w:rsidR="00105CB0">
              <w:rPr>
                <w:noProof/>
                <w:webHidden/>
              </w:rPr>
              <w:fldChar w:fldCharType="separate"/>
            </w:r>
            <w:r w:rsidR="00105CB0">
              <w:rPr>
                <w:noProof/>
                <w:webHidden/>
              </w:rPr>
              <w:t>62</w:t>
            </w:r>
            <w:r w:rsidR="00105CB0">
              <w:rPr>
                <w:noProof/>
                <w:webHidden/>
              </w:rPr>
              <w:fldChar w:fldCharType="end"/>
            </w:r>
          </w:hyperlink>
        </w:p>
        <w:p w14:paraId="2B3DE496" w14:textId="3EA06FC0"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10" w:history="1">
            <w:r w:rsidR="00105CB0" w:rsidRPr="00DD3337">
              <w:rPr>
                <w:rStyle w:val="Hyperlink"/>
                <w:noProof/>
              </w:rPr>
              <w:t>Ireland</w:t>
            </w:r>
            <w:r w:rsidR="00105CB0">
              <w:rPr>
                <w:noProof/>
                <w:webHidden/>
              </w:rPr>
              <w:tab/>
            </w:r>
            <w:r w:rsidR="00105CB0">
              <w:rPr>
                <w:noProof/>
                <w:webHidden/>
              </w:rPr>
              <w:fldChar w:fldCharType="begin"/>
            </w:r>
            <w:r w:rsidR="00105CB0">
              <w:rPr>
                <w:noProof/>
                <w:webHidden/>
              </w:rPr>
              <w:instrText xml:space="preserve"> PAGEREF _Toc132806710 \h </w:instrText>
            </w:r>
            <w:r w:rsidR="00105CB0">
              <w:rPr>
                <w:noProof/>
                <w:webHidden/>
              </w:rPr>
            </w:r>
            <w:r w:rsidR="00105CB0">
              <w:rPr>
                <w:noProof/>
                <w:webHidden/>
              </w:rPr>
              <w:fldChar w:fldCharType="separate"/>
            </w:r>
            <w:r w:rsidR="00105CB0">
              <w:rPr>
                <w:noProof/>
                <w:webHidden/>
              </w:rPr>
              <w:t>66</w:t>
            </w:r>
            <w:r w:rsidR="00105CB0">
              <w:rPr>
                <w:noProof/>
                <w:webHidden/>
              </w:rPr>
              <w:fldChar w:fldCharType="end"/>
            </w:r>
          </w:hyperlink>
        </w:p>
        <w:p w14:paraId="007719A6" w14:textId="7023D43D"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11" w:history="1">
            <w:r w:rsidR="00105CB0" w:rsidRPr="00DD3337">
              <w:rPr>
                <w:rStyle w:val="Hyperlink"/>
                <w:noProof/>
              </w:rPr>
              <w:t xml:space="preserve">Italy </w:t>
            </w:r>
            <w:r w:rsidR="00105CB0">
              <w:rPr>
                <w:noProof/>
                <w:webHidden/>
              </w:rPr>
              <w:tab/>
            </w:r>
            <w:r w:rsidR="00105CB0">
              <w:rPr>
                <w:noProof/>
                <w:webHidden/>
              </w:rPr>
              <w:fldChar w:fldCharType="begin"/>
            </w:r>
            <w:r w:rsidR="00105CB0">
              <w:rPr>
                <w:noProof/>
                <w:webHidden/>
              </w:rPr>
              <w:instrText xml:space="preserve"> PAGEREF _Toc132806711 \h </w:instrText>
            </w:r>
            <w:r w:rsidR="00105CB0">
              <w:rPr>
                <w:noProof/>
                <w:webHidden/>
              </w:rPr>
            </w:r>
            <w:r w:rsidR="00105CB0">
              <w:rPr>
                <w:noProof/>
                <w:webHidden/>
              </w:rPr>
              <w:fldChar w:fldCharType="separate"/>
            </w:r>
            <w:r w:rsidR="00105CB0">
              <w:rPr>
                <w:noProof/>
                <w:webHidden/>
              </w:rPr>
              <w:t>68</w:t>
            </w:r>
            <w:r w:rsidR="00105CB0">
              <w:rPr>
                <w:noProof/>
                <w:webHidden/>
              </w:rPr>
              <w:fldChar w:fldCharType="end"/>
            </w:r>
          </w:hyperlink>
        </w:p>
        <w:p w14:paraId="741FAFE5" w14:textId="7B7034E6"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12" w:history="1">
            <w:r w:rsidR="00105CB0" w:rsidRPr="00DD3337">
              <w:rPr>
                <w:rStyle w:val="Hyperlink"/>
                <w:noProof/>
              </w:rPr>
              <w:t>Latvia</w:t>
            </w:r>
            <w:r w:rsidR="00105CB0">
              <w:rPr>
                <w:noProof/>
                <w:webHidden/>
              </w:rPr>
              <w:tab/>
            </w:r>
            <w:r w:rsidR="00105CB0">
              <w:rPr>
                <w:noProof/>
                <w:webHidden/>
              </w:rPr>
              <w:fldChar w:fldCharType="begin"/>
            </w:r>
            <w:r w:rsidR="00105CB0">
              <w:rPr>
                <w:noProof/>
                <w:webHidden/>
              </w:rPr>
              <w:instrText xml:space="preserve"> PAGEREF _Toc132806712 \h </w:instrText>
            </w:r>
            <w:r w:rsidR="00105CB0">
              <w:rPr>
                <w:noProof/>
                <w:webHidden/>
              </w:rPr>
            </w:r>
            <w:r w:rsidR="00105CB0">
              <w:rPr>
                <w:noProof/>
                <w:webHidden/>
              </w:rPr>
              <w:fldChar w:fldCharType="separate"/>
            </w:r>
            <w:r w:rsidR="00105CB0">
              <w:rPr>
                <w:noProof/>
                <w:webHidden/>
              </w:rPr>
              <w:t>71</w:t>
            </w:r>
            <w:r w:rsidR="00105CB0">
              <w:rPr>
                <w:noProof/>
                <w:webHidden/>
              </w:rPr>
              <w:fldChar w:fldCharType="end"/>
            </w:r>
          </w:hyperlink>
        </w:p>
        <w:p w14:paraId="7EABE60A" w14:textId="7A6EAB17"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13" w:history="1">
            <w:r w:rsidR="00105CB0" w:rsidRPr="00DD3337">
              <w:rPr>
                <w:rStyle w:val="Hyperlink"/>
                <w:noProof/>
              </w:rPr>
              <w:t>Liechtenstein</w:t>
            </w:r>
            <w:r w:rsidR="00105CB0">
              <w:rPr>
                <w:noProof/>
                <w:webHidden/>
              </w:rPr>
              <w:tab/>
            </w:r>
            <w:r w:rsidR="00105CB0">
              <w:rPr>
                <w:noProof/>
                <w:webHidden/>
              </w:rPr>
              <w:fldChar w:fldCharType="begin"/>
            </w:r>
            <w:r w:rsidR="00105CB0">
              <w:rPr>
                <w:noProof/>
                <w:webHidden/>
              </w:rPr>
              <w:instrText xml:space="preserve"> PAGEREF _Toc132806713 \h </w:instrText>
            </w:r>
            <w:r w:rsidR="00105CB0">
              <w:rPr>
                <w:noProof/>
                <w:webHidden/>
              </w:rPr>
            </w:r>
            <w:r w:rsidR="00105CB0">
              <w:rPr>
                <w:noProof/>
                <w:webHidden/>
              </w:rPr>
              <w:fldChar w:fldCharType="separate"/>
            </w:r>
            <w:r w:rsidR="00105CB0">
              <w:rPr>
                <w:noProof/>
                <w:webHidden/>
              </w:rPr>
              <w:t>72</w:t>
            </w:r>
            <w:r w:rsidR="00105CB0">
              <w:rPr>
                <w:noProof/>
                <w:webHidden/>
              </w:rPr>
              <w:fldChar w:fldCharType="end"/>
            </w:r>
          </w:hyperlink>
        </w:p>
        <w:p w14:paraId="23A51122" w14:textId="4C951127"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14" w:history="1">
            <w:r w:rsidR="00105CB0" w:rsidRPr="00DD3337">
              <w:rPr>
                <w:rStyle w:val="Hyperlink"/>
                <w:noProof/>
              </w:rPr>
              <w:t>Lithuania</w:t>
            </w:r>
            <w:r w:rsidR="00105CB0">
              <w:rPr>
                <w:noProof/>
                <w:webHidden/>
              </w:rPr>
              <w:tab/>
            </w:r>
            <w:r w:rsidR="00105CB0">
              <w:rPr>
                <w:noProof/>
                <w:webHidden/>
              </w:rPr>
              <w:fldChar w:fldCharType="begin"/>
            </w:r>
            <w:r w:rsidR="00105CB0">
              <w:rPr>
                <w:noProof/>
                <w:webHidden/>
              </w:rPr>
              <w:instrText xml:space="preserve"> PAGEREF _Toc132806714 \h </w:instrText>
            </w:r>
            <w:r w:rsidR="00105CB0">
              <w:rPr>
                <w:noProof/>
                <w:webHidden/>
              </w:rPr>
            </w:r>
            <w:r w:rsidR="00105CB0">
              <w:rPr>
                <w:noProof/>
                <w:webHidden/>
              </w:rPr>
              <w:fldChar w:fldCharType="separate"/>
            </w:r>
            <w:r w:rsidR="00105CB0">
              <w:rPr>
                <w:noProof/>
                <w:webHidden/>
              </w:rPr>
              <w:t>72</w:t>
            </w:r>
            <w:r w:rsidR="00105CB0">
              <w:rPr>
                <w:noProof/>
                <w:webHidden/>
              </w:rPr>
              <w:fldChar w:fldCharType="end"/>
            </w:r>
          </w:hyperlink>
        </w:p>
        <w:p w14:paraId="0E8F16CD" w14:textId="047C5F76"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15" w:history="1">
            <w:r w:rsidR="00105CB0" w:rsidRPr="00DD3337">
              <w:rPr>
                <w:rStyle w:val="Hyperlink"/>
                <w:noProof/>
              </w:rPr>
              <w:t>Luxembourg</w:t>
            </w:r>
            <w:r w:rsidR="00105CB0">
              <w:rPr>
                <w:noProof/>
                <w:webHidden/>
              </w:rPr>
              <w:tab/>
            </w:r>
            <w:r w:rsidR="00105CB0">
              <w:rPr>
                <w:noProof/>
                <w:webHidden/>
              </w:rPr>
              <w:fldChar w:fldCharType="begin"/>
            </w:r>
            <w:r w:rsidR="00105CB0">
              <w:rPr>
                <w:noProof/>
                <w:webHidden/>
              </w:rPr>
              <w:instrText xml:space="preserve"> PAGEREF _Toc132806715 \h </w:instrText>
            </w:r>
            <w:r w:rsidR="00105CB0">
              <w:rPr>
                <w:noProof/>
                <w:webHidden/>
              </w:rPr>
            </w:r>
            <w:r w:rsidR="00105CB0">
              <w:rPr>
                <w:noProof/>
                <w:webHidden/>
              </w:rPr>
              <w:fldChar w:fldCharType="separate"/>
            </w:r>
            <w:r w:rsidR="00105CB0">
              <w:rPr>
                <w:noProof/>
                <w:webHidden/>
              </w:rPr>
              <w:t>74</w:t>
            </w:r>
            <w:r w:rsidR="00105CB0">
              <w:rPr>
                <w:noProof/>
                <w:webHidden/>
              </w:rPr>
              <w:fldChar w:fldCharType="end"/>
            </w:r>
          </w:hyperlink>
        </w:p>
        <w:p w14:paraId="226A7AF6" w14:textId="07268201"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16" w:history="1">
            <w:r w:rsidR="00105CB0" w:rsidRPr="00DD3337">
              <w:rPr>
                <w:rStyle w:val="Hyperlink"/>
                <w:noProof/>
              </w:rPr>
              <w:t>Malta</w:t>
            </w:r>
            <w:r w:rsidR="00105CB0">
              <w:rPr>
                <w:noProof/>
                <w:webHidden/>
              </w:rPr>
              <w:tab/>
            </w:r>
            <w:r w:rsidR="00105CB0">
              <w:rPr>
                <w:noProof/>
                <w:webHidden/>
              </w:rPr>
              <w:fldChar w:fldCharType="begin"/>
            </w:r>
            <w:r w:rsidR="00105CB0">
              <w:rPr>
                <w:noProof/>
                <w:webHidden/>
              </w:rPr>
              <w:instrText xml:space="preserve"> PAGEREF _Toc132806716 \h </w:instrText>
            </w:r>
            <w:r w:rsidR="00105CB0">
              <w:rPr>
                <w:noProof/>
                <w:webHidden/>
              </w:rPr>
            </w:r>
            <w:r w:rsidR="00105CB0">
              <w:rPr>
                <w:noProof/>
                <w:webHidden/>
              </w:rPr>
              <w:fldChar w:fldCharType="separate"/>
            </w:r>
            <w:r w:rsidR="00105CB0">
              <w:rPr>
                <w:noProof/>
                <w:webHidden/>
              </w:rPr>
              <w:t>76</w:t>
            </w:r>
            <w:r w:rsidR="00105CB0">
              <w:rPr>
                <w:noProof/>
                <w:webHidden/>
              </w:rPr>
              <w:fldChar w:fldCharType="end"/>
            </w:r>
          </w:hyperlink>
        </w:p>
        <w:p w14:paraId="69FBE397" w14:textId="019C55E1"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17" w:history="1">
            <w:r w:rsidR="00105CB0" w:rsidRPr="00DD3337">
              <w:rPr>
                <w:rStyle w:val="Hyperlink"/>
                <w:noProof/>
              </w:rPr>
              <w:t>Republic of Moldova</w:t>
            </w:r>
            <w:r w:rsidR="00105CB0">
              <w:rPr>
                <w:noProof/>
                <w:webHidden/>
              </w:rPr>
              <w:tab/>
            </w:r>
            <w:r w:rsidR="00105CB0">
              <w:rPr>
                <w:noProof/>
                <w:webHidden/>
              </w:rPr>
              <w:fldChar w:fldCharType="begin"/>
            </w:r>
            <w:r w:rsidR="00105CB0">
              <w:rPr>
                <w:noProof/>
                <w:webHidden/>
              </w:rPr>
              <w:instrText xml:space="preserve"> PAGEREF _Toc132806717 \h </w:instrText>
            </w:r>
            <w:r w:rsidR="00105CB0">
              <w:rPr>
                <w:noProof/>
                <w:webHidden/>
              </w:rPr>
            </w:r>
            <w:r w:rsidR="00105CB0">
              <w:rPr>
                <w:noProof/>
                <w:webHidden/>
              </w:rPr>
              <w:fldChar w:fldCharType="separate"/>
            </w:r>
            <w:r w:rsidR="00105CB0">
              <w:rPr>
                <w:noProof/>
                <w:webHidden/>
              </w:rPr>
              <w:t>76</w:t>
            </w:r>
            <w:r w:rsidR="00105CB0">
              <w:rPr>
                <w:noProof/>
                <w:webHidden/>
              </w:rPr>
              <w:fldChar w:fldCharType="end"/>
            </w:r>
          </w:hyperlink>
        </w:p>
        <w:p w14:paraId="7F5708D8" w14:textId="26E937DC"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18" w:history="1">
            <w:r w:rsidR="00105CB0" w:rsidRPr="00DD3337">
              <w:rPr>
                <w:rStyle w:val="Hyperlink"/>
                <w:noProof/>
              </w:rPr>
              <w:t>Monaco</w:t>
            </w:r>
            <w:r w:rsidR="00105CB0">
              <w:rPr>
                <w:noProof/>
                <w:webHidden/>
              </w:rPr>
              <w:tab/>
            </w:r>
            <w:r w:rsidR="00105CB0">
              <w:rPr>
                <w:noProof/>
                <w:webHidden/>
              </w:rPr>
              <w:fldChar w:fldCharType="begin"/>
            </w:r>
            <w:r w:rsidR="00105CB0">
              <w:rPr>
                <w:noProof/>
                <w:webHidden/>
              </w:rPr>
              <w:instrText xml:space="preserve"> PAGEREF _Toc132806718 \h </w:instrText>
            </w:r>
            <w:r w:rsidR="00105CB0">
              <w:rPr>
                <w:noProof/>
                <w:webHidden/>
              </w:rPr>
            </w:r>
            <w:r w:rsidR="00105CB0">
              <w:rPr>
                <w:noProof/>
                <w:webHidden/>
              </w:rPr>
              <w:fldChar w:fldCharType="separate"/>
            </w:r>
            <w:r w:rsidR="00105CB0">
              <w:rPr>
                <w:noProof/>
                <w:webHidden/>
              </w:rPr>
              <w:t>78</w:t>
            </w:r>
            <w:r w:rsidR="00105CB0">
              <w:rPr>
                <w:noProof/>
                <w:webHidden/>
              </w:rPr>
              <w:fldChar w:fldCharType="end"/>
            </w:r>
          </w:hyperlink>
        </w:p>
        <w:p w14:paraId="48FB4360" w14:textId="2529A628"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19" w:history="1">
            <w:r w:rsidR="00105CB0" w:rsidRPr="00DD3337">
              <w:rPr>
                <w:rStyle w:val="Hyperlink"/>
                <w:noProof/>
              </w:rPr>
              <w:t>Montenegro</w:t>
            </w:r>
            <w:r w:rsidR="00105CB0">
              <w:rPr>
                <w:noProof/>
                <w:webHidden/>
              </w:rPr>
              <w:tab/>
            </w:r>
            <w:r w:rsidR="00105CB0">
              <w:rPr>
                <w:noProof/>
                <w:webHidden/>
              </w:rPr>
              <w:fldChar w:fldCharType="begin"/>
            </w:r>
            <w:r w:rsidR="00105CB0">
              <w:rPr>
                <w:noProof/>
                <w:webHidden/>
              </w:rPr>
              <w:instrText xml:space="preserve"> PAGEREF _Toc132806719 \h </w:instrText>
            </w:r>
            <w:r w:rsidR="00105CB0">
              <w:rPr>
                <w:noProof/>
                <w:webHidden/>
              </w:rPr>
            </w:r>
            <w:r w:rsidR="00105CB0">
              <w:rPr>
                <w:noProof/>
                <w:webHidden/>
              </w:rPr>
              <w:fldChar w:fldCharType="separate"/>
            </w:r>
            <w:r w:rsidR="00105CB0">
              <w:rPr>
                <w:noProof/>
                <w:webHidden/>
              </w:rPr>
              <w:t>78</w:t>
            </w:r>
            <w:r w:rsidR="00105CB0">
              <w:rPr>
                <w:noProof/>
                <w:webHidden/>
              </w:rPr>
              <w:fldChar w:fldCharType="end"/>
            </w:r>
          </w:hyperlink>
        </w:p>
        <w:p w14:paraId="6A548BEB" w14:textId="7701DD57"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20" w:history="1">
            <w:r w:rsidR="00105CB0" w:rsidRPr="00DD3337">
              <w:rPr>
                <w:rStyle w:val="Hyperlink"/>
                <w:noProof/>
              </w:rPr>
              <w:t>The Netherlands</w:t>
            </w:r>
            <w:r w:rsidR="00105CB0">
              <w:rPr>
                <w:noProof/>
                <w:webHidden/>
              </w:rPr>
              <w:tab/>
            </w:r>
            <w:r w:rsidR="00105CB0">
              <w:rPr>
                <w:noProof/>
                <w:webHidden/>
              </w:rPr>
              <w:fldChar w:fldCharType="begin"/>
            </w:r>
            <w:r w:rsidR="00105CB0">
              <w:rPr>
                <w:noProof/>
                <w:webHidden/>
              </w:rPr>
              <w:instrText xml:space="preserve"> PAGEREF _Toc132806720 \h </w:instrText>
            </w:r>
            <w:r w:rsidR="00105CB0">
              <w:rPr>
                <w:noProof/>
                <w:webHidden/>
              </w:rPr>
            </w:r>
            <w:r w:rsidR="00105CB0">
              <w:rPr>
                <w:noProof/>
                <w:webHidden/>
              </w:rPr>
              <w:fldChar w:fldCharType="separate"/>
            </w:r>
            <w:r w:rsidR="00105CB0">
              <w:rPr>
                <w:noProof/>
                <w:webHidden/>
              </w:rPr>
              <w:t>81</w:t>
            </w:r>
            <w:r w:rsidR="00105CB0">
              <w:rPr>
                <w:noProof/>
                <w:webHidden/>
              </w:rPr>
              <w:fldChar w:fldCharType="end"/>
            </w:r>
          </w:hyperlink>
        </w:p>
        <w:p w14:paraId="4888B29A" w14:textId="74876BC0"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21" w:history="1">
            <w:r w:rsidR="00105CB0" w:rsidRPr="00DD3337">
              <w:rPr>
                <w:rStyle w:val="Hyperlink"/>
                <w:noProof/>
              </w:rPr>
              <w:t>North Macedonia</w:t>
            </w:r>
            <w:r w:rsidR="00105CB0">
              <w:rPr>
                <w:noProof/>
                <w:webHidden/>
              </w:rPr>
              <w:tab/>
            </w:r>
            <w:r w:rsidR="00105CB0">
              <w:rPr>
                <w:noProof/>
                <w:webHidden/>
              </w:rPr>
              <w:fldChar w:fldCharType="begin"/>
            </w:r>
            <w:r w:rsidR="00105CB0">
              <w:rPr>
                <w:noProof/>
                <w:webHidden/>
              </w:rPr>
              <w:instrText xml:space="preserve"> PAGEREF _Toc132806721 \h </w:instrText>
            </w:r>
            <w:r w:rsidR="00105CB0">
              <w:rPr>
                <w:noProof/>
                <w:webHidden/>
              </w:rPr>
            </w:r>
            <w:r w:rsidR="00105CB0">
              <w:rPr>
                <w:noProof/>
                <w:webHidden/>
              </w:rPr>
              <w:fldChar w:fldCharType="separate"/>
            </w:r>
            <w:r w:rsidR="00105CB0">
              <w:rPr>
                <w:noProof/>
                <w:webHidden/>
              </w:rPr>
              <w:t>84</w:t>
            </w:r>
            <w:r w:rsidR="00105CB0">
              <w:rPr>
                <w:noProof/>
                <w:webHidden/>
              </w:rPr>
              <w:fldChar w:fldCharType="end"/>
            </w:r>
          </w:hyperlink>
        </w:p>
        <w:p w14:paraId="3F389DEE" w14:textId="42749328"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22" w:history="1">
            <w:r w:rsidR="00105CB0" w:rsidRPr="00DD3337">
              <w:rPr>
                <w:rStyle w:val="Hyperlink"/>
                <w:noProof/>
              </w:rPr>
              <w:t>Norway</w:t>
            </w:r>
            <w:r w:rsidR="00105CB0">
              <w:rPr>
                <w:noProof/>
                <w:webHidden/>
              </w:rPr>
              <w:tab/>
            </w:r>
            <w:r w:rsidR="00105CB0">
              <w:rPr>
                <w:noProof/>
                <w:webHidden/>
              </w:rPr>
              <w:fldChar w:fldCharType="begin"/>
            </w:r>
            <w:r w:rsidR="00105CB0">
              <w:rPr>
                <w:noProof/>
                <w:webHidden/>
              </w:rPr>
              <w:instrText xml:space="preserve"> PAGEREF _Toc132806722 \h </w:instrText>
            </w:r>
            <w:r w:rsidR="00105CB0">
              <w:rPr>
                <w:noProof/>
                <w:webHidden/>
              </w:rPr>
            </w:r>
            <w:r w:rsidR="00105CB0">
              <w:rPr>
                <w:noProof/>
                <w:webHidden/>
              </w:rPr>
              <w:fldChar w:fldCharType="separate"/>
            </w:r>
            <w:r w:rsidR="00105CB0">
              <w:rPr>
                <w:noProof/>
                <w:webHidden/>
              </w:rPr>
              <w:t>85</w:t>
            </w:r>
            <w:r w:rsidR="00105CB0">
              <w:rPr>
                <w:noProof/>
                <w:webHidden/>
              </w:rPr>
              <w:fldChar w:fldCharType="end"/>
            </w:r>
          </w:hyperlink>
        </w:p>
        <w:p w14:paraId="7A0F8115" w14:textId="460E3504"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23" w:history="1">
            <w:r w:rsidR="00105CB0" w:rsidRPr="00DD3337">
              <w:rPr>
                <w:rStyle w:val="Hyperlink"/>
                <w:noProof/>
              </w:rPr>
              <w:t>Poland</w:t>
            </w:r>
            <w:r w:rsidR="00105CB0">
              <w:rPr>
                <w:noProof/>
                <w:webHidden/>
              </w:rPr>
              <w:tab/>
            </w:r>
            <w:r w:rsidR="00105CB0">
              <w:rPr>
                <w:noProof/>
                <w:webHidden/>
              </w:rPr>
              <w:fldChar w:fldCharType="begin"/>
            </w:r>
            <w:r w:rsidR="00105CB0">
              <w:rPr>
                <w:noProof/>
                <w:webHidden/>
              </w:rPr>
              <w:instrText xml:space="preserve"> PAGEREF _Toc132806723 \h </w:instrText>
            </w:r>
            <w:r w:rsidR="00105CB0">
              <w:rPr>
                <w:noProof/>
                <w:webHidden/>
              </w:rPr>
            </w:r>
            <w:r w:rsidR="00105CB0">
              <w:rPr>
                <w:noProof/>
                <w:webHidden/>
              </w:rPr>
              <w:fldChar w:fldCharType="separate"/>
            </w:r>
            <w:r w:rsidR="00105CB0">
              <w:rPr>
                <w:noProof/>
                <w:webHidden/>
              </w:rPr>
              <w:t>88</w:t>
            </w:r>
            <w:r w:rsidR="00105CB0">
              <w:rPr>
                <w:noProof/>
                <w:webHidden/>
              </w:rPr>
              <w:fldChar w:fldCharType="end"/>
            </w:r>
          </w:hyperlink>
        </w:p>
        <w:p w14:paraId="3FD809BA" w14:textId="436E8788"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24" w:history="1">
            <w:r w:rsidR="00105CB0" w:rsidRPr="00DD3337">
              <w:rPr>
                <w:rStyle w:val="Hyperlink"/>
                <w:noProof/>
              </w:rPr>
              <w:t>Portugal</w:t>
            </w:r>
            <w:r w:rsidR="00105CB0">
              <w:rPr>
                <w:noProof/>
                <w:webHidden/>
              </w:rPr>
              <w:tab/>
            </w:r>
            <w:r w:rsidR="00105CB0">
              <w:rPr>
                <w:noProof/>
                <w:webHidden/>
              </w:rPr>
              <w:fldChar w:fldCharType="begin"/>
            </w:r>
            <w:r w:rsidR="00105CB0">
              <w:rPr>
                <w:noProof/>
                <w:webHidden/>
              </w:rPr>
              <w:instrText xml:space="preserve"> PAGEREF _Toc132806724 \h </w:instrText>
            </w:r>
            <w:r w:rsidR="00105CB0">
              <w:rPr>
                <w:noProof/>
                <w:webHidden/>
              </w:rPr>
            </w:r>
            <w:r w:rsidR="00105CB0">
              <w:rPr>
                <w:noProof/>
                <w:webHidden/>
              </w:rPr>
              <w:fldChar w:fldCharType="separate"/>
            </w:r>
            <w:r w:rsidR="00105CB0">
              <w:rPr>
                <w:noProof/>
                <w:webHidden/>
              </w:rPr>
              <w:t>90</w:t>
            </w:r>
            <w:r w:rsidR="00105CB0">
              <w:rPr>
                <w:noProof/>
                <w:webHidden/>
              </w:rPr>
              <w:fldChar w:fldCharType="end"/>
            </w:r>
          </w:hyperlink>
        </w:p>
        <w:p w14:paraId="5DF9EB3A" w14:textId="31CA65E7"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25" w:history="1">
            <w:r w:rsidR="00105CB0" w:rsidRPr="00DD3337">
              <w:rPr>
                <w:rStyle w:val="Hyperlink"/>
                <w:noProof/>
              </w:rPr>
              <w:t>Romania</w:t>
            </w:r>
            <w:r w:rsidR="00105CB0">
              <w:rPr>
                <w:noProof/>
                <w:webHidden/>
              </w:rPr>
              <w:tab/>
            </w:r>
            <w:r w:rsidR="00105CB0">
              <w:rPr>
                <w:noProof/>
                <w:webHidden/>
              </w:rPr>
              <w:fldChar w:fldCharType="begin"/>
            </w:r>
            <w:r w:rsidR="00105CB0">
              <w:rPr>
                <w:noProof/>
                <w:webHidden/>
              </w:rPr>
              <w:instrText xml:space="preserve"> PAGEREF _Toc132806725 \h </w:instrText>
            </w:r>
            <w:r w:rsidR="00105CB0">
              <w:rPr>
                <w:noProof/>
                <w:webHidden/>
              </w:rPr>
            </w:r>
            <w:r w:rsidR="00105CB0">
              <w:rPr>
                <w:noProof/>
                <w:webHidden/>
              </w:rPr>
              <w:fldChar w:fldCharType="separate"/>
            </w:r>
            <w:r w:rsidR="00105CB0">
              <w:rPr>
                <w:noProof/>
                <w:webHidden/>
              </w:rPr>
              <w:t>91</w:t>
            </w:r>
            <w:r w:rsidR="00105CB0">
              <w:rPr>
                <w:noProof/>
                <w:webHidden/>
              </w:rPr>
              <w:fldChar w:fldCharType="end"/>
            </w:r>
          </w:hyperlink>
        </w:p>
        <w:p w14:paraId="57C1F4EC" w14:textId="73688F60"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26" w:history="1">
            <w:r w:rsidR="00105CB0" w:rsidRPr="00DD3337">
              <w:rPr>
                <w:rStyle w:val="Hyperlink"/>
                <w:noProof/>
              </w:rPr>
              <w:t>Russian Federation</w:t>
            </w:r>
            <w:r w:rsidR="00105CB0">
              <w:rPr>
                <w:noProof/>
                <w:webHidden/>
              </w:rPr>
              <w:tab/>
            </w:r>
            <w:r w:rsidR="00105CB0">
              <w:rPr>
                <w:noProof/>
                <w:webHidden/>
              </w:rPr>
              <w:fldChar w:fldCharType="begin"/>
            </w:r>
            <w:r w:rsidR="00105CB0">
              <w:rPr>
                <w:noProof/>
                <w:webHidden/>
              </w:rPr>
              <w:instrText xml:space="preserve"> PAGEREF _Toc132806726 \h </w:instrText>
            </w:r>
            <w:r w:rsidR="00105CB0">
              <w:rPr>
                <w:noProof/>
                <w:webHidden/>
              </w:rPr>
            </w:r>
            <w:r w:rsidR="00105CB0">
              <w:rPr>
                <w:noProof/>
                <w:webHidden/>
              </w:rPr>
              <w:fldChar w:fldCharType="separate"/>
            </w:r>
            <w:r w:rsidR="00105CB0">
              <w:rPr>
                <w:noProof/>
                <w:webHidden/>
              </w:rPr>
              <w:t>92</w:t>
            </w:r>
            <w:r w:rsidR="00105CB0">
              <w:rPr>
                <w:noProof/>
                <w:webHidden/>
              </w:rPr>
              <w:fldChar w:fldCharType="end"/>
            </w:r>
          </w:hyperlink>
        </w:p>
        <w:p w14:paraId="46DDEE4E" w14:textId="78D17A73"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27" w:history="1">
            <w:r w:rsidR="00105CB0" w:rsidRPr="00DD3337">
              <w:rPr>
                <w:rStyle w:val="Hyperlink"/>
                <w:noProof/>
              </w:rPr>
              <w:t>San Marino</w:t>
            </w:r>
            <w:r w:rsidR="00105CB0">
              <w:rPr>
                <w:noProof/>
                <w:webHidden/>
              </w:rPr>
              <w:tab/>
            </w:r>
            <w:r w:rsidR="00105CB0">
              <w:rPr>
                <w:noProof/>
                <w:webHidden/>
              </w:rPr>
              <w:fldChar w:fldCharType="begin"/>
            </w:r>
            <w:r w:rsidR="00105CB0">
              <w:rPr>
                <w:noProof/>
                <w:webHidden/>
              </w:rPr>
              <w:instrText xml:space="preserve"> PAGEREF _Toc132806727 \h </w:instrText>
            </w:r>
            <w:r w:rsidR="00105CB0">
              <w:rPr>
                <w:noProof/>
                <w:webHidden/>
              </w:rPr>
            </w:r>
            <w:r w:rsidR="00105CB0">
              <w:rPr>
                <w:noProof/>
                <w:webHidden/>
              </w:rPr>
              <w:fldChar w:fldCharType="separate"/>
            </w:r>
            <w:r w:rsidR="00105CB0">
              <w:rPr>
                <w:noProof/>
                <w:webHidden/>
              </w:rPr>
              <w:t>95</w:t>
            </w:r>
            <w:r w:rsidR="00105CB0">
              <w:rPr>
                <w:noProof/>
                <w:webHidden/>
              </w:rPr>
              <w:fldChar w:fldCharType="end"/>
            </w:r>
          </w:hyperlink>
        </w:p>
        <w:p w14:paraId="4B0C07BE" w14:textId="338744B0"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28" w:history="1">
            <w:r w:rsidR="00105CB0" w:rsidRPr="00DD3337">
              <w:rPr>
                <w:rStyle w:val="Hyperlink"/>
                <w:noProof/>
              </w:rPr>
              <w:t>Serbia</w:t>
            </w:r>
            <w:r w:rsidR="00105CB0">
              <w:rPr>
                <w:noProof/>
                <w:webHidden/>
              </w:rPr>
              <w:tab/>
            </w:r>
            <w:r w:rsidR="00105CB0">
              <w:rPr>
                <w:noProof/>
                <w:webHidden/>
              </w:rPr>
              <w:fldChar w:fldCharType="begin"/>
            </w:r>
            <w:r w:rsidR="00105CB0">
              <w:rPr>
                <w:noProof/>
                <w:webHidden/>
              </w:rPr>
              <w:instrText xml:space="preserve"> PAGEREF _Toc132806728 \h </w:instrText>
            </w:r>
            <w:r w:rsidR="00105CB0">
              <w:rPr>
                <w:noProof/>
                <w:webHidden/>
              </w:rPr>
            </w:r>
            <w:r w:rsidR="00105CB0">
              <w:rPr>
                <w:noProof/>
                <w:webHidden/>
              </w:rPr>
              <w:fldChar w:fldCharType="separate"/>
            </w:r>
            <w:r w:rsidR="00105CB0">
              <w:rPr>
                <w:noProof/>
                <w:webHidden/>
              </w:rPr>
              <w:t>95</w:t>
            </w:r>
            <w:r w:rsidR="00105CB0">
              <w:rPr>
                <w:noProof/>
                <w:webHidden/>
              </w:rPr>
              <w:fldChar w:fldCharType="end"/>
            </w:r>
          </w:hyperlink>
        </w:p>
        <w:p w14:paraId="2791E2F6" w14:textId="6E51C2BD"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29" w:history="1">
            <w:r w:rsidR="00105CB0" w:rsidRPr="00DD3337">
              <w:rPr>
                <w:rStyle w:val="Hyperlink"/>
                <w:noProof/>
              </w:rPr>
              <w:t>Slovak Republic</w:t>
            </w:r>
            <w:r w:rsidR="00105CB0">
              <w:rPr>
                <w:noProof/>
                <w:webHidden/>
              </w:rPr>
              <w:tab/>
            </w:r>
            <w:r w:rsidR="00105CB0">
              <w:rPr>
                <w:noProof/>
                <w:webHidden/>
              </w:rPr>
              <w:fldChar w:fldCharType="begin"/>
            </w:r>
            <w:r w:rsidR="00105CB0">
              <w:rPr>
                <w:noProof/>
                <w:webHidden/>
              </w:rPr>
              <w:instrText xml:space="preserve"> PAGEREF _Toc132806729 \h </w:instrText>
            </w:r>
            <w:r w:rsidR="00105CB0">
              <w:rPr>
                <w:noProof/>
                <w:webHidden/>
              </w:rPr>
            </w:r>
            <w:r w:rsidR="00105CB0">
              <w:rPr>
                <w:noProof/>
                <w:webHidden/>
              </w:rPr>
              <w:fldChar w:fldCharType="separate"/>
            </w:r>
            <w:r w:rsidR="00105CB0">
              <w:rPr>
                <w:noProof/>
                <w:webHidden/>
              </w:rPr>
              <w:t>97</w:t>
            </w:r>
            <w:r w:rsidR="00105CB0">
              <w:rPr>
                <w:noProof/>
                <w:webHidden/>
              </w:rPr>
              <w:fldChar w:fldCharType="end"/>
            </w:r>
          </w:hyperlink>
        </w:p>
        <w:p w14:paraId="22BCB02A" w14:textId="7BAB3A77"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30" w:history="1">
            <w:r w:rsidR="00105CB0" w:rsidRPr="00DD3337">
              <w:rPr>
                <w:rStyle w:val="Hyperlink"/>
                <w:noProof/>
              </w:rPr>
              <w:t>Slovenia</w:t>
            </w:r>
            <w:r w:rsidR="00105CB0">
              <w:rPr>
                <w:noProof/>
                <w:webHidden/>
              </w:rPr>
              <w:tab/>
            </w:r>
            <w:r w:rsidR="00105CB0">
              <w:rPr>
                <w:noProof/>
                <w:webHidden/>
              </w:rPr>
              <w:fldChar w:fldCharType="begin"/>
            </w:r>
            <w:r w:rsidR="00105CB0">
              <w:rPr>
                <w:noProof/>
                <w:webHidden/>
              </w:rPr>
              <w:instrText xml:space="preserve"> PAGEREF _Toc132806730 \h </w:instrText>
            </w:r>
            <w:r w:rsidR="00105CB0">
              <w:rPr>
                <w:noProof/>
                <w:webHidden/>
              </w:rPr>
            </w:r>
            <w:r w:rsidR="00105CB0">
              <w:rPr>
                <w:noProof/>
                <w:webHidden/>
              </w:rPr>
              <w:fldChar w:fldCharType="separate"/>
            </w:r>
            <w:r w:rsidR="00105CB0">
              <w:rPr>
                <w:noProof/>
                <w:webHidden/>
              </w:rPr>
              <w:t>98</w:t>
            </w:r>
            <w:r w:rsidR="00105CB0">
              <w:rPr>
                <w:noProof/>
                <w:webHidden/>
              </w:rPr>
              <w:fldChar w:fldCharType="end"/>
            </w:r>
          </w:hyperlink>
        </w:p>
        <w:p w14:paraId="3BBF08F6" w14:textId="4F251850"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31" w:history="1">
            <w:r w:rsidR="00105CB0" w:rsidRPr="00DD3337">
              <w:rPr>
                <w:rStyle w:val="Hyperlink"/>
                <w:noProof/>
              </w:rPr>
              <w:t>Spain</w:t>
            </w:r>
            <w:r w:rsidR="00105CB0">
              <w:rPr>
                <w:noProof/>
                <w:webHidden/>
              </w:rPr>
              <w:tab/>
            </w:r>
            <w:r w:rsidR="00105CB0">
              <w:rPr>
                <w:noProof/>
                <w:webHidden/>
              </w:rPr>
              <w:fldChar w:fldCharType="begin"/>
            </w:r>
            <w:r w:rsidR="00105CB0">
              <w:rPr>
                <w:noProof/>
                <w:webHidden/>
              </w:rPr>
              <w:instrText xml:space="preserve"> PAGEREF _Toc132806731 \h </w:instrText>
            </w:r>
            <w:r w:rsidR="00105CB0">
              <w:rPr>
                <w:noProof/>
                <w:webHidden/>
              </w:rPr>
            </w:r>
            <w:r w:rsidR="00105CB0">
              <w:rPr>
                <w:noProof/>
                <w:webHidden/>
              </w:rPr>
              <w:fldChar w:fldCharType="separate"/>
            </w:r>
            <w:r w:rsidR="00105CB0">
              <w:rPr>
                <w:noProof/>
                <w:webHidden/>
              </w:rPr>
              <w:t>102</w:t>
            </w:r>
            <w:r w:rsidR="00105CB0">
              <w:rPr>
                <w:noProof/>
                <w:webHidden/>
              </w:rPr>
              <w:fldChar w:fldCharType="end"/>
            </w:r>
          </w:hyperlink>
        </w:p>
        <w:p w14:paraId="2AC786B5" w14:textId="55B1B9C3"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32" w:history="1">
            <w:r w:rsidR="00105CB0" w:rsidRPr="00DD3337">
              <w:rPr>
                <w:rStyle w:val="Hyperlink"/>
                <w:noProof/>
              </w:rPr>
              <w:t>Sweden</w:t>
            </w:r>
            <w:r w:rsidR="00105CB0">
              <w:rPr>
                <w:noProof/>
                <w:webHidden/>
              </w:rPr>
              <w:tab/>
            </w:r>
            <w:r w:rsidR="00105CB0">
              <w:rPr>
                <w:noProof/>
                <w:webHidden/>
              </w:rPr>
              <w:fldChar w:fldCharType="begin"/>
            </w:r>
            <w:r w:rsidR="00105CB0">
              <w:rPr>
                <w:noProof/>
                <w:webHidden/>
              </w:rPr>
              <w:instrText xml:space="preserve"> PAGEREF _Toc132806732 \h </w:instrText>
            </w:r>
            <w:r w:rsidR="00105CB0">
              <w:rPr>
                <w:noProof/>
                <w:webHidden/>
              </w:rPr>
            </w:r>
            <w:r w:rsidR="00105CB0">
              <w:rPr>
                <w:noProof/>
                <w:webHidden/>
              </w:rPr>
              <w:fldChar w:fldCharType="separate"/>
            </w:r>
            <w:r w:rsidR="00105CB0">
              <w:rPr>
                <w:noProof/>
                <w:webHidden/>
              </w:rPr>
              <w:t>103</w:t>
            </w:r>
            <w:r w:rsidR="00105CB0">
              <w:rPr>
                <w:noProof/>
                <w:webHidden/>
              </w:rPr>
              <w:fldChar w:fldCharType="end"/>
            </w:r>
          </w:hyperlink>
        </w:p>
        <w:p w14:paraId="43879037" w14:textId="713F5609"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33" w:history="1">
            <w:r w:rsidR="00105CB0" w:rsidRPr="00DD3337">
              <w:rPr>
                <w:rStyle w:val="Hyperlink"/>
                <w:noProof/>
              </w:rPr>
              <w:t>Switzerland</w:t>
            </w:r>
            <w:r w:rsidR="00105CB0">
              <w:rPr>
                <w:noProof/>
                <w:webHidden/>
              </w:rPr>
              <w:tab/>
            </w:r>
            <w:r w:rsidR="00105CB0">
              <w:rPr>
                <w:noProof/>
                <w:webHidden/>
              </w:rPr>
              <w:fldChar w:fldCharType="begin"/>
            </w:r>
            <w:r w:rsidR="00105CB0">
              <w:rPr>
                <w:noProof/>
                <w:webHidden/>
              </w:rPr>
              <w:instrText xml:space="preserve"> PAGEREF _Toc132806733 \h </w:instrText>
            </w:r>
            <w:r w:rsidR="00105CB0">
              <w:rPr>
                <w:noProof/>
                <w:webHidden/>
              </w:rPr>
            </w:r>
            <w:r w:rsidR="00105CB0">
              <w:rPr>
                <w:noProof/>
                <w:webHidden/>
              </w:rPr>
              <w:fldChar w:fldCharType="separate"/>
            </w:r>
            <w:r w:rsidR="00105CB0">
              <w:rPr>
                <w:noProof/>
                <w:webHidden/>
              </w:rPr>
              <w:t>104</w:t>
            </w:r>
            <w:r w:rsidR="00105CB0">
              <w:rPr>
                <w:noProof/>
                <w:webHidden/>
              </w:rPr>
              <w:fldChar w:fldCharType="end"/>
            </w:r>
          </w:hyperlink>
        </w:p>
        <w:p w14:paraId="42B46C3E" w14:textId="4EC88C37"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34" w:history="1">
            <w:r w:rsidR="00105CB0" w:rsidRPr="00DD3337">
              <w:rPr>
                <w:rStyle w:val="Hyperlink"/>
                <w:noProof/>
              </w:rPr>
              <w:t>Türkiye</w:t>
            </w:r>
            <w:r w:rsidR="00105CB0">
              <w:rPr>
                <w:noProof/>
                <w:webHidden/>
              </w:rPr>
              <w:tab/>
            </w:r>
            <w:r w:rsidR="00105CB0">
              <w:rPr>
                <w:noProof/>
                <w:webHidden/>
              </w:rPr>
              <w:fldChar w:fldCharType="begin"/>
            </w:r>
            <w:r w:rsidR="00105CB0">
              <w:rPr>
                <w:noProof/>
                <w:webHidden/>
              </w:rPr>
              <w:instrText xml:space="preserve"> PAGEREF _Toc132806734 \h </w:instrText>
            </w:r>
            <w:r w:rsidR="00105CB0">
              <w:rPr>
                <w:noProof/>
                <w:webHidden/>
              </w:rPr>
            </w:r>
            <w:r w:rsidR="00105CB0">
              <w:rPr>
                <w:noProof/>
                <w:webHidden/>
              </w:rPr>
              <w:fldChar w:fldCharType="separate"/>
            </w:r>
            <w:r w:rsidR="00105CB0">
              <w:rPr>
                <w:noProof/>
                <w:webHidden/>
              </w:rPr>
              <w:t>105</w:t>
            </w:r>
            <w:r w:rsidR="00105CB0">
              <w:rPr>
                <w:noProof/>
                <w:webHidden/>
              </w:rPr>
              <w:fldChar w:fldCharType="end"/>
            </w:r>
          </w:hyperlink>
        </w:p>
        <w:p w14:paraId="1EA94D55" w14:textId="67E678C9"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35" w:history="1">
            <w:r w:rsidR="00105CB0" w:rsidRPr="00DD3337">
              <w:rPr>
                <w:rStyle w:val="Hyperlink"/>
                <w:noProof/>
              </w:rPr>
              <w:t>Ukraine</w:t>
            </w:r>
            <w:r w:rsidR="00105CB0">
              <w:rPr>
                <w:noProof/>
                <w:webHidden/>
              </w:rPr>
              <w:tab/>
            </w:r>
            <w:r w:rsidR="00105CB0">
              <w:rPr>
                <w:noProof/>
                <w:webHidden/>
              </w:rPr>
              <w:fldChar w:fldCharType="begin"/>
            </w:r>
            <w:r w:rsidR="00105CB0">
              <w:rPr>
                <w:noProof/>
                <w:webHidden/>
              </w:rPr>
              <w:instrText xml:space="preserve"> PAGEREF _Toc132806735 \h </w:instrText>
            </w:r>
            <w:r w:rsidR="00105CB0">
              <w:rPr>
                <w:noProof/>
                <w:webHidden/>
              </w:rPr>
            </w:r>
            <w:r w:rsidR="00105CB0">
              <w:rPr>
                <w:noProof/>
                <w:webHidden/>
              </w:rPr>
              <w:fldChar w:fldCharType="separate"/>
            </w:r>
            <w:r w:rsidR="00105CB0">
              <w:rPr>
                <w:noProof/>
                <w:webHidden/>
              </w:rPr>
              <w:t>107</w:t>
            </w:r>
            <w:r w:rsidR="00105CB0">
              <w:rPr>
                <w:noProof/>
                <w:webHidden/>
              </w:rPr>
              <w:fldChar w:fldCharType="end"/>
            </w:r>
          </w:hyperlink>
        </w:p>
        <w:p w14:paraId="6008824E" w14:textId="54EA04A0"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36" w:history="1">
            <w:r w:rsidR="00105CB0" w:rsidRPr="00DD3337">
              <w:rPr>
                <w:rStyle w:val="Hyperlink"/>
                <w:noProof/>
              </w:rPr>
              <w:t>United Kingdom</w:t>
            </w:r>
            <w:r w:rsidR="00105CB0">
              <w:rPr>
                <w:noProof/>
                <w:webHidden/>
              </w:rPr>
              <w:tab/>
            </w:r>
            <w:r w:rsidR="00105CB0">
              <w:rPr>
                <w:noProof/>
                <w:webHidden/>
              </w:rPr>
              <w:fldChar w:fldCharType="begin"/>
            </w:r>
            <w:r w:rsidR="00105CB0">
              <w:rPr>
                <w:noProof/>
                <w:webHidden/>
              </w:rPr>
              <w:instrText xml:space="preserve"> PAGEREF _Toc132806736 \h </w:instrText>
            </w:r>
            <w:r w:rsidR="00105CB0">
              <w:rPr>
                <w:noProof/>
                <w:webHidden/>
              </w:rPr>
            </w:r>
            <w:r w:rsidR="00105CB0">
              <w:rPr>
                <w:noProof/>
                <w:webHidden/>
              </w:rPr>
              <w:fldChar w:fldCharType="separate"/>
            </w:r>
            <w:r w:rsidR="00105CB0">
              <w:rPr>
                <w:noProof/>
                <w:webHidden/>
              </w:rPr>
              <w:t>111</w:t>
            </w:r>
            <w:r w:rsidR="00105CB0">
              <w:rPr>
                <w:noProof/>
                <w:webHidden/>
              </w:rPr>
              <w:fldChar w:fldCharType="end"/>
            </w:r>
          </w:hyperlink>
        </w:p>
        <w:p w14:paraId="417BCEAA" w14:textId="0664B6C4"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37" w:history="1">
            <w:r w:rsidR="00105CB0" w:rsidRPr="00DD3337">
              <w:rPr>
                <w:rStyle w:val="Hyperlink"/>
                <w:noProof/>
              </w:rPr>
              <w:t>European Union</w:t>
            </w:r>
            <w:r w:rsidR="00105CB0">
              <w:rPr>
                <w:noProof/>
                <w:webHidden/>
              </w:rPr>
              <w:tab/>
            </w:r>
            <w:r w:rsidR="00105CB0">
              <w:rPr>
                <w:noProof/>
                <w:webHidden/>
              </w:rPr>
              <w:fldChar w:fldCharType="begin"/>
            </w:r>
            <w:r w:rsidR="00105CB0">
              <w:rPr>
                <w:noProof/>
                <w:webHidden/>
              </w:rPr>
              <w:instrText xml:space="preserve"> PAGEREF _Toc132806737 \h </w:instrText>
            </w:r>
            <w:r w:rsidR="00105CB0">
              <w:rPr>
                <w:noProof/>
                <w:webHidden/>
              </w:rPr>
            </w:r>
            <w:r w:rsidR="00105CB0">
              <w:rPr>
                <w:noProof/>
                <w:webHidden/>
              </w:rPr>
              <w:fldChar w:fldCharType="separate"/>
            </w:r>
            <w:r w:rsidR="00105CB0">
              <w:rPr>
                <w:noProof/>
                <w:webHidden/>
              </w:rPr>
              <w:t>113</w:t>
            </w:r>
            <w:r w:rsidR="00105CB0">
              <w:rPr>
                <w:noProof/>
                <w:webHidden/>
              </w:rPr>
              <w:fldChar w:fldCharType="end"/>
            </w:r>
          </w:hyperlink>
        </w:p>
        <w:p w14:paraId="45B431EA" w14:textId="4BE1A436" w:rsidR="00105CB0" w:rsidRDefault="00000000">
          <w:pPr>
            <w:pStyle w:val="TOC3"/>
            <w:tabs>
              <w:tab w:val="right" w:leader="dot" w:pos="9016"/>
            </w:tabs>
            <w:rPr>
              <w:rFonts w:eastAsiaTheme="minorEastAsia" w:cstheme="minorBidi"/>
              <w:smallCaps w:val="0"/>
              <w:noProof/>
              <w:kern w:val="2"/>
              <w:sz w:val="24"/>
              <w:szCs w:val="24"/>
              <w:lang w:eastAsia="en-GB" w:bidi="he-IL"/>
              <w14:ligatures w14:val="standardContextual"/>
            </w:rPr>
          </w:pPr>
          <w:hyperlink w:anchor="_Toc132806738" w:history="1">
            <w:r w:rsidR="00105CB0" w:rsidRPr="00DD3337">
              <w:rPr>
                <w:rStyle w:val="Hyperlink"/>
                <w:noProof/>
              </w:rPr>
              <w:t>Canada</w:t>
            </w:r>
            <w:r w:rsidR="00105CB0">
              <w:rPr>
                <w:noProof/>
                <w:webHidden/>
              </w:rPr>
              <w:tab/>
            </w:r>
            <w:r w:rsidR="00105CB0">
              <w:rPr>
                <w:noProof/>
                <w:webHidden/>
              </w:rPr>
              <w:fldChar w:fldCharType="begin"/>
            </w:r>
            <w:r w:rsidR="00105CB0">
              <w:rPr>
                <w:noProof/>
                <w:webHidden/>
              </w:rPr>
              <w:instrText xml:space="preserve"> PAGEREF _Toc132806738 \h </w:instrText>
            </w:r>
            <w:r w:rsidR="00105CB0">
              <w:rPr>
                <w:noProof/>
                <w:webHidden/>
              </w:rPr>
            </w:r>
            <w:r w:rsidR="00105CB0">
              <w:rPr>
                <w:noProof/>
                <w:webHidden/>
              </w:rPr>
              <w:fldChar w:fldCharType="separate"/>
            </w:r>
            <w:r w:rsidR="00105CB0">
              <w:rPr>
                <w:noProof/>
                <w:webHidden/>
              </w:rPr>
              <w:t>114</w:t>
            </w:r>
            <w:r w:rsidR="00105CB0">
              <w:rPr>
                <w:noProof/>
                <w:webHidden/>
              </w:rPr>
              <w:fldChar w:fldCharType="end"/>
            </w:r>
          </w:hyperlink>
        </w:p>
        <w:p w14:paraId="5E15BF61" w14:textId="2CEBB5E6" w:rsidR="003168F8" w:rsidRPr="00662CBC" w:rsidRDefault="003168F8" w:rsidP="003168F8">
          <w:r w:rsidRPr="00662CBC">
            <w:rPr>
              <w:b/>
              <w:bCs/>
              <w:noProof/>
            </w:rPr>
            <w:fldChar w:fldCharType="end"/>
          </w:r>
        </w:p>
      </w:sdtContent>
    </w:sdt>
    <w:p w14:paraId="035BD8E3" w14:textId="77777777" w:rsidR="003168F8" w:rsidRPr="00662CBC" w:rsidRDefault="003168F8" w:rsidP="003168F8">
      <w:pPr>
        <w:spacing w:before="0" w:after="200"/>
        <w:jc w:val="left"/>
      </w:pPr>
      <w:r w:rsidRPr="00662CBC">
        <w:br w:type="page"/>
      </w:r>
    </w:p>
    <w:p w14:paraId="56150F01" w14:textId="77777777" w:rsidR="002D3865" w:rsidRDefault="003168F8" w:rsidP="002D3865">
      <w:pPr>
        <w:pStyle w:val="Heading1"/>
        <w:rPr>
          <w:sz w:val="24"/>
          <w:szCs w:val="24"/>
        </w:rPr>
      </w:pPr>
      <w:bookmarkStart w:id="0" w:name="_Toc132806684"/>
      <w:r w:rsidRPr="002D3865">
        <w:rPr>
          <w:sz w:val="24"/>
          <w:szCs w:val="24"/>
        </w:rPr>
        <w:lastRenderedPageBreak/>
        <w:t>Short Analysis of FindingS</w:t>
      </w:r>
      <w:bookmarkEnd w:id="0"/>
    </w:p>
    <w:p w14:paraId="49EDD1F0" w14:textId="77777777" w:rsidR="00081B19" w:rsidRPr="00081B19" w:rsidRDefault="00081B19" w:rsidP="00081B19">
      <w:pPr>
        <w:spacing w:before="100" w:beforeAutospacing="1" w:after="100" w:afterAutospacing="1" w:line="240" w:lineRule="auto"/>
        <w:jc w:val="left"/>
        <w:rPr>
          <w:rFonts w:eastAsia="Times New Roman" w:cs="Times New Roman"/>
          <w:color w:val="000000"/>
          <w:sz w:val="27"/>
          <w:szCs w:val="27"/>
        </w:rPr>
      </w:pPr>
      <w:r w:rsidRPr="00081B19">
        <w:rPr>
          <w:rFonts w:eastAsia="Times New Roman" w:cs="Times New Roman"/>
          <w:color w:val="000000"/>
          <w:sz w:val="27"/>
          <w:szCs w:val="27"/>
        </w:rPr>
        <w:t xml:space="preserve">The turn of the millennium saw concerted efforts at the national and supranational levels to ensure equal participation of women and men in political decision making. The French parity law broke new ground followed by quotas for women on corporate boards, pay equity laws, and paid parental leave reforms with non- transferable limits. It has been argued that gender quotas are the most effective and elegant strategy to guarantee gender justice and secure far reaching political, </w:t>
      </w:r>
      <w:proofErr w:type="gramStart"/>
      <w:r w:rsidRPr="00081B19">
        <w:rPr>
          <w:rFonts w:eastAsia="Times New Roman" w:cs="Times New Roman"/>
          <w:color w:val="000000"/>
          <w:sz w:val="27"/>
          <w:szCs w:val="27"/>
        </w:rPr>
        <w:t>social</w:t>
      </w:r>
      <w:proofErr w:type="gramEnd"/>
      <w:r w:rsidRPr="00081B19">
        <w:rPr>
          <w:rFonts w:eastAsia="Times New Roman" w:cs="Times New Roman"/>
          <w:color w:val="000000"/>
          <w:sz w:val="27"/>
          <w:szCs w:val="27"/>
        </w:rPr>
        <w:t xml:space="preserve"> and economic change.</w:t>
      </w:r>
    </w:p>
    <w:p w14:paraId="439BC18C" w14:textId="77777777" w:rsidR="00081B19" w:rsidRPr="00081B19" w:rsidRDefault="00081B19" w:rsidP="00081B19">
      <w:pPr>
        <w:spacing w:before="100" w:beforeAutospacing="1" w:after="100" w:afterAutospacing="1" w:line="240" w:lineRule="auto"/>
        <w:jc w:val="left"/>
        <w:rPr>
          <w:rFonts w:eastAsia="Times New Roman" w:cs="Times New Roman"/>
          <w:color w:val="000000"/>
          <w:sz w:val="27"/>
          <w:szCs w:val="27"/>
        </w:rPr>
      </w:pPr>
      <w:r w:rsidRPr="00081B19">
        <w:rPr>
          <w:rFonts w:eastAsia="Times New Roman" w:cs="Times New Roman"/>
          <w:color w:val="000000"/>
          <w:sz w:val="27"/>
          <w:szCs w:val="27"/>
        </w:rPr>
        <w:t>The Parity Law in France in 2000 aimed at 50/50 representation of both genders and led to far reaching measures. When it became clear that gender inequality in political life was a matter of structural problems rather than the absence of talent or expertise, quotas soon became the most effective strategy to address historical power differences that retained inequalities in place.</w:t>
      </w:r>
    </w:p>
    <w:p w14:paraId="495CFE23" w14:textId="77777777" w:rsidR="00081B19" w:rsidRPr="00081B19" w:rsidRDefault="00081B19" w:rsidP="00081B19">
      <w:pPr>
        <w:spacing w:before="100" w:beforeAutospacing="1" w:after="100" w:afterAutospacing="1" w:line="240" w:lineRule="auto"/>
        <w:jc w:val="left"/>
        <w:rPr>
          <w:rFonts w:eastAsia="Times New Roman" w:cs="Times New Roman"/>
          <w:color w:val="000000"/>
          <w:sz w:val="27"/>
          <w:szCs w:val="27"/>
        </w:rPr>
      </w:pPr>
      <w:r w:rsidRPr="00081B19">
        <w:rPr>
          <w:rFonts w:eastAsia="Times New Roman" w:cs="Times New Roman"/>
          <w:color w:val="000000"/>
          <w:sz w:val="27"/>
          <w:szCs w:val="27"/>
        </w:rPr>
        <w:t>Worldwide more than 110 countries have now adopted some characteristics of a gender quota strategy. Despite these efforts, the proportion of women in parliament globally still hovers a little over 25 percent.</w:t>
      </w:r>
    </w:p>
    <w:p w14:paraId="0F8E5C3C" w14:textId="77777777" w:rsidR="00081B19" w:rsidRPr="00081B19" w:rsidRDefault="00081B19" w:rsidP="00081B19">
      <w:pPr>
        <w:spacing w:before="100" w:beforeAutospacing="1" w:after="100" w:afterAutospacing="1" w:line="240" w:lineRule="auto"/>
        <w:jc w:val="left"/>
        <w:rPr>
          <w:rFonts w:eastAsia="Times New Roman" w:cs="Times New Roman"/>
          <w:color w:val="000000"/>
          <w:sz w:val="27"/>
          <w:szCs w:val="27"/>
        </w:rPr>
      </w:pPr>
      <w:r w:rsidRPr="00081B19">
        <w:rPr>
          <w:rFonts w:eastAsia="Times New Roman" w:cs="Times New Roman"/>
          <w:color w:val="000000"/>
          <w:sz w:val="27"/>
          <w:szCs w:val="27"/>
        </w:rPr>
        <w:t>Although historically, the Nordic countries held the lead in the percentage of women in parliament, by the early years of the millennium, non- European countries led in women’s representation in parliament. Rwanda Bolivia and Argentina climbed to the top of the list.</w:t>
      </w:r>
    </w:p>
    <w:p w14:paraId="63752344" w14:textId="77777777" w:rsidR="00081B19" w:rsidRPr="00081B19" w:rsidRDefault="00081B19" w:rsidP="00081B19">
      <w:pPr>
        <w:spacing w:before="100" w:beforeAutospacing="1" w:after="100" w:afterAutospacing="1" w:line="240" w:lineRule="auto"/>
        <w:jc w:val="left"/>
        <w:rPr>
          <w:rFonts w:eastAsia="Times New Roman" w:cs="Times New Roman"/>
          <w:color w:val="000000"/>
          <w:sz w:val="27"/>
          <w:szCs w:val="27"/>
        </w:rPr>
      </w:pPr>
      <w:r w:rsidRPr="00081B19">
        <w:rPr>
          <w:rFonts w:eastAsia="Times New Roman" w:cs="Times New Roman"/>
          <w:color w:val="000000"/>
          <w:sz w:val="27"/>
          <w:szCs w:val="27"/>
        </w:rPr>
        <w:t>Gender or women’s quotas can also help balance out ethnic or regional inequalities. The case of Rwanda show that a post conflict scenario offers fresh opportunities for transformation. Moreover, majority of women in parliament can be achieved through both quotas guaranteed in the constitution and legislative framework. A mobilization of women and a strong international support structure must complement these national quotas.</w:t>
      </w:r>
    </w:p>
    <w:p w14:paraId="1FD6CDC2" w14:textId="77777777" w:rsidR="00081B19" w:rsidRPr="00081B19" w:rsidRDefault="00081B19" w:rsidP="00081B19">
      <w:pPr>
        <w:spacing w:before="100" w:beforeAutospacing="1" w:after="100" w:afterAutospacing="1" w:line="240" w:lineRule="auto"/>
        <w:jc w:val="left"/>
        <w:rPr>
          <w:rFonts w:eastAsia="Times New Roman" w:cs="Times New Roman"/>
          <w:color w:val="000000"/>
          <w:sz w:val="27"/>
          <w:szCs w:val="27"/>
        </w:rPr>
      </w:pPr>
      <w:r w:rsidRPr="00081B19">
        <w:rPr>
          <w:rFonts w:eastAsia="Times New Roman" w:cs="Times New Roman"/>
          <w:color w:val="000000"/>
          <w:sz w:val="27"/>
          <w:szCs w:val="27"/>
        </w:rPr>
        <w:t xml:space="preserve">Although gender quotas vary, quotas are defined by Norris and </w:t>
      </w:r>
      <w:proofErr w:type="spellStart"/>
      <w:r w:rsidRPr="00081B19">
        <w:rPr>
          <w:rFonts w:eastAsia="Times New Roman" w:cs="Times New Roman"/>
          <w:color w:val="000000"/>
          <w:sz w:val="27"/>
          <w:szCs w:val="27"/>
        </w:rPr>
        <w:t>Dahlerup</w:t>
      </w:r>
      <w:proofErr w:type="spellEnd"/>
      <w:r w:rsidRPr="00081B19">
        <w:rPr>
          <w:rFonts w:eastAsia="Times New Roman" w:cs="Times New Roman"/>
          <w:color w:val="000000"/>
          <w:sz w:val="27"/>
          <w:szCs w:val="27"/>
        </w:rPr>
        <w:t xml:space="preserve"> as “regulatory policies designed to achieve descriptive representation through rules entailing that the composition of a candidates list or a body must contain a certain minimum number or proportion of a specified category of people. “</w:t>
      </w:r>
    </w:p>
    <w:p w14:paraId="0EA04E17" w14:textId="77777777" w:rsidR="00081B19" w:rsidRPr="00081B19" w:rsidRDefault="00081B19" w:rsidP="00081B19">
      <w:pPr>
        <w:spacing w:before="100" w:beforeAutospacing="1" w:after="100" w:afterAutospacing="1" w:line="240" w:lineRule="auto"/>
        <w:jc w:val="left"/>
        <w:rPr>
          <w:rFonts w:eastAsia="Times New Roman" w:cs="Times New Roman"/>
          <w:color w:val="000000"/>
          <w:sz w:val="27"/>
          <w:szCs w:val="27"/>
        </w:rPr>
      </w:pPr>
      <w:r w:rsidRPr="00081B19">
        <w:rPr>
          <w:rFonts w:eastAsia="Times New Roman" w:cs="Times New Roman"/>
          <w:color w:val="000000"/>
          <w:sz w:val="27"/>
          <w:szCs w:val="27"/>
        </w:rPr>
        <w:t xml:space="preserve">Quotas are either defined as gender quotas or women’s quotas. Under Gender Quotas, a certain number of seats are reserved for each sex. Under women’s </w:t>
      </w:r>
      <w:proofErr w:type="gramStart"/>
      <w:r w:rsidRPr="00081B19">
        <w:rPr>
          <w:rFonts w:eastAsia="Times New Roman" w:cs="Times New Roman"/>
          <w:color w:val="000000"/>
          <w:sz w:val="27"/>
          <w:szCs w:val="27"/>
        </w:rPr>
        <w:t>quotas;</w:t>
      </w:r>
      <w:proofErr w:type="gramEnd"/>
      <w:r w:rsidRPr="00081B19">
        <w:rPr>
          <w:rFonts w:eastAsia="Times New Roman" w:cs="Times New Roman"/>
          <w:color w:val="000000"/>
          <w:sz w:val="27"/>
          <w:szCs w:val="27"/>
        </w:rPr>
        <w:t xml:space="preserve"> a certain percentage of candidate nominations are reserved for women.</w:t>
      </w:r>
    </w:p>
    <w:p w14:paraId="36E08E31" w14:textId="77777777" w:rsidR="00081B19" w:rsidRPr="00081B19" w:rsidRDefault="00081B19" w:rsidP="00081B19">
      <w:pPr>
        <w:spacing w:before="100" w:beforeAutospacing="1" w:after="100" w:afterAutospacing="1" w:line="240" w:lineRule="auto"/>
        <w:jc w:val="left"/>
        <w:rPr>
          <w:rFonts w:eastAsia="Times New Roman" w:cs="Times New Roman"/>
          <w:color w:val="000000"/>
          <w:sz w:val="27"/>
          <w:szCs w:val="27"/>
        </w:rPr>
      </w:pPr>
      <w:r w:rsidRPr="00081B19">
        <w:rPr>
          <w:rFonts w:eastAsia="Times New Roman" w:cs="Times New Roman"/>
          <w:color w:val="000000"/>
          <w:sz w:val="27"/>
          <w:szCs w:val="27"/>
        </w:rPr>
        <w:t>Three different types of quotas, include:</w:t>
      </w:r>
    </w:p>
    <w:p w14:paraId="5FBBAC5D" w14:textId="77777777" w:rsidR="00081B19" w:rsidRPr="00081B19" w:rsidRDefault="00081B19" w:rsidP="00081B19">
      <w:pPr>
        <w:spacing w:before="100" w:beforeAutospacing="1" w:after="100" w:afterAutospacing="1" w:line="240" w:lineRule="auto"/>
        <w:jc w:val="left"/>
        <w:rPr>
          <w:rFonts w:eastAsia="Times New Roman" w:cs="Times New Roman"/>
          <w:color w:val="000000"/>
          <w:sz w:val="27"/>
          <w:szCs w:val="27"/>
        </w:rPr>
      </w:pPr>
      <w:r w:rsidRPr="00081B19">
        <w:rPr>
          <w:rFonts w:eastAsia="Times New Roman" w:cs="Times New Roman"/>
          <w:color w:val="000000"/>
          <w:sz w:val="27"/>
          <w:szCs w:val="27"/>
        </w:rPr>
        <w:t xml:space="preserve">Voluntary political party quotas- These quotas do not have legal character and can be decided upon by the political parties and may vary from party to </w:t>
      </w:r>
      <w:proofErr w:type="gramStart"/>
      <w:r w:rsidRPr="00081B19">
        <w:rPr>
          <w:rFonts w:eastAsia="Times New Roman" w:cs="Times New Roman"/>
          <w:color w:val="000000"/>
          <w:sz w:val="27"/>
          <w:szCs w:val="27"/>
        </w:rPr>
        <w:t>party</w:t>
      </w:r>
      <w:proofErr w:type="gramEnd"/>
    </w:p>
    <w:p w14:paraId="3DD05F53" w14:textId="428B9FAD" w:rsidR="00081B19" w:rsidRPr="00081B19" w:rsidRDefault="00081B19" w:rsidP="00081B19">
      <w:pPr>
        <w:spacing w:before="100" w:beforeAutospacing="1" w:after="100" w:afterAutospacing="1" w:line="240" w:lineRule="auto"/>
        <w:jc w:val="left"/>
        <w:rPr>
          <w:rFonts w:eastAsia="Times New Roman" w:cs="Times New Roman"/>
          <w:color w:val="000000"/>
          <w:sz w:val="27"/>
          <w:szCs w:val="27"/>
        </w:rPr>
      </w:pPr>
      <w:r w:rsidRPr="00081B19">
        <w:rPr>
          <w:rFonts w:eastAsia="Times New Roman" w:cs="Times New Roman"/>
          <w:color w:val="000000"/>
          <w:sz w:val="27"/>
          <w:szCs w:val="27"/>
        </w:rPr>
        <w:lastRenderedPageBreak/>
        <w:t xml:space="preserve">Legislated candidate quotas – These quotas </w:t>
      </w:r>
      <w:r>
        <w:rPr>
          <w:rFonts w:eastAsia="Times New Roman" w:cs="Times New Roman"/>
          <w:color w:val="000000"/>
          <w:sz w:val="27"/>
          <w:szCs w:val="27"/>
        </w:rPr>
        <w:t xml:space="preserve">apply </w:t>
      </w:r>
      <w:r w:rsidRPr="00081B19">
        <w:rPr>
          <w:rFonts w:eastAsia="Times New Roman" w:cs="Times New Roman"/>
          <w:color w:val="000000"/>
          <w:sz w:val="27"/>
          <w:szCs w:val="27"/>
        </w:rPr>
        <w:t>to all parties and are enshrined in the constitution or electoral laws.</w:t>
      </w:r>
    </w:p>
    <w:p w14:paraId="4964EB5A" w14:textId="77777777" w:rsidR="00081B19" w:rsidRDefault="00081B19" w:rsidP="004020DE">
      <w:pPr>
        <w:rPr>
          <w:sz w:val="24"/>
          <w:szCs w:val="24"/>
        </w:rPr>
      </w:pPr>
    </w:p>
    <w:p w14:paraId="520A07C3" w14:textId="77777777" w:rsidR="00081B19" w:rsidRDefault="00081B19" w:rsidP="004020DE">
      <w:pPr>
        <w:rPr>
          <w:sz w:val="24"/>
          <w:szCs w:val="24"/>
        </w:rPr>
      </w:pPr>
    </w:p>
    <w:p w14:paraId="42738A64" w14:textId="77777777" w:rsidR="00081B19" w:rsidRDefault="00081B19" w:rsidP="004020DE">
      <w:pPr>
        <w:rPr>
          <w:sz w:val="24"/>
          <w:szCs w:val="24"/>
        </w:rPr>
      </w:pPr>
    </w:p>
    <w:p w14:paraId="26303294" w14:textId="65D89FB3" w:rsidR="004020DE" w:rsidRPr="004020DE" w:rsidRDefault="004020DE" w:rsidP="004020DE">
      <w:pPr>
        <w:rPr>
          <w:sz w:val="24"/>
          <w:szCs w:val="24"/>
        </w:rPr>
      </w:pPr>
      <w:r w:rsidRPr="002D3865">
        <w:rPr>
          <w:sz w:val="24"/>
          <w:szCs w:val="24"/>
        </w:rPr>
        <w:t xml:space="preserve">This study </w:t>
      </w:r>
      <w:r>
        <w:rPr>
          <w:sz w:val="24"/>
          <w:szCs w:val="24"/>
        </w:rPr>
        <w:t xml:space="preserve">explores what countries have adopted legislated quotas for leadership positions in the foreign service and the security sector. The study centers on 49 European States (Council of Europe States, Russia, and Belarus), the European Union, and Canada. </w:t>
      </w:r>
    </w:p>
    <w:p w14:paraId="49B0ED0B" w14:textId="77777777" w:rsidR="002D3865" w:rsidRDefault="00C96364" w:rsidP="002D3865">
      <w:pPr>
        <w:pStyle w:val="Heading2"/>
        <w:rPr>
          <w:sz w:val="24"/>
        </w:rPr>
      </w:pPr>
      <w:r w:rsidRPr="002D3865">
        <w:rPr>
          <w:sz w:val="24"/>
        </w:rPr>
        <w:t>Metho</w:t>
      </w:r>
      <w:r w:rsidR="004C0442" w:rsidRPr="002D3865">
        <w:rPr>
          <w:sz w:val="24"/>
        </w:rPr>
        <w:t>do</w:t>
      </w:r>
      <w:r w:rsidRPr="002D3865">
        <w:rPr>
          <w:sz w:val="24"/>
        </w:rPr>
        <w:t xml:space="preserve">logy </w:t>
      </w:r>
    </w:p>
    <w:p w14:paraId="532E64F6" w14:textId="6D4D9B90" w:rsidR="004020DE" w:rsidRDefault="004020DE" w:rsidP="0033716F">
      <w:pPr>
        <w:rPr>
          <w:sz w:val="24"/>
          <w:szCs w:val="24"/>
        </w:rPr>
      </w:pPr>
      <w:r w:rsidRPr="004020DE">
        <w:rPr>
          <w:sz w:val="24"/>
          <w:szCs w:val="24"/>
        </w:rPr>
        <w:t xml:space="preserve">The </w:t>
      </w:r>
      <w:r>
        <w:rPr>
          <w:sz w:val="24"/>
          <w:szCs w:val="24"/>
        </w:rPr>
        <w:t>study uses legislation</w:t>
      </w:r>
      <w:r w:rsidR="0033716F">
        <w:rPr>
          <w:sz w:val="24"/>
          <w:szCs w:val="24"/>
        </w:rPr>
        <w:t xml:space="preserve"> from each jurisdiction, CEDAW reports, the North Atlantic Treaty Organization (NATO) </w:t>
      </w:r>
      <w:r w:rsidR="0033716F" w:rsidRPr="0033716F">
        <w:rPr>
          <w:sz w:val="24"/>
          <w:szCs w:val="24"/>
        </w:rPr>
        <w:t>WPS Global Database</w:t>
      </w:r>
      <w:r w:rsidR="0033716F">
        <w:rPr>
          <w:sz w:val="24"/>
          <w:szCs w:val="24"/>
        </w:rPr>
        <w:t xml:space="preserve"> reports, the WPS National Action Plans and the analysis of these NAPs </w:t>
      </w:r>
      <w:r w:rsidR="0033716F" w:rsidRPr="0033716F">
        <w:rPr>
          <w:sz w:val="24"/>
          <w:szCs w:val="24"/>
        </w:rPr>
        <w:t xml:space="preserve">collected by the LSE Center of Women Peace and Security and the University of </w:t>
      </w:r>
      <w:r w:rsidR="00B553D8" w:rsidRPr="0033716F">
        <w:rPr>
          <w:sz w:val="24"/>
          <w:szCs w:val="24"/>
        </w:rPr>
        <w:t>Sydney</w:t>
      </w:r>
      <w:r w:rsidR="0033716F">
        <w:rPr>
          <w:sz w:val="24"/>
          <w:szCs w:val="24"/>
        </w:rPr>
        <w:t>. Moreover, as this study tracks external action, the report also includes the National Determined Contribution</w:t>
      </w:r>
      <w:r w:rsidR="00816A14">
        <w:rPr>
          <w:sz w:val="24"/>
          <w:szCs w:val="24"/>
        </w:rPr>
        <w:t xml:space="preserve"> (NDC)</w:t>
      </w:r>
      <w:r w:rsidR="0033716F">
        <w:rPr>
          <w:sz w:val="24"/>
          <w:szCs w:val="24"/>
        </w:rPr>
        <w:t xml:space="preserve"> as analyzed by the </w:t>
      </w:r>
      <w:hyperlink r:id="rId8" w:history="1">
        <w:r w:rsidR="0033716F" w:rsidRPr="00AC62F9">
          <w:rPr>
            <w:rStyle w:val="Hyperlink"/>
            <w:sz w:val="24"/>
            <w:szCs w:val="24"/>
          </w:rPr>
          <w:t>https://genderclimatetracker.org/</w:t>
        </w:r>
      </w:hyperlink>
      <w:r w:rsidR="0033716F">
        <w:rPr>
          <w:sz w:val="24"/>
          <w:szCs w:val="24"/>
        </w:rPr>
        <w:t xml:space="preserve"> to track whether gender is acknowledged in these. </w:t>
      </w:r>
    </w:p>
    <w:p w14:paraId="5E213F05" w14:textId="1FC41963" w:rsidR="00467473" w:rsidRDefault="00467473" w:rsidP="0033716F">
      <w:pPr>
        <w:rPr>
          <w:sz w:val="24"/>
          <w:szCs w:val="24"/>
        </w:rPr>
      </w:pPr>
      <w:r>
        <w:rPr>
          <w:sz w:val="24"/>
          <w:szCs w:val="24"/>
        </w:rPr>
        <w:t xml:space="preserve">To ascertain whether quotas are generally applied in </w:t>
      </w:r>
      <w:r w:rsidR="00816A14">
        <w:rPr>
          <w:sz w:val="24"/>
          <w:szCs w:val="24"/>
        </w:rPr>
        <w:t>several</w:t>
      </w:r>
      <w:r>
        <w:rPr>
          <w:sz w:val="24"/>
          <w:szCs w:val="24"/>
        </w:rPr>
        <w:t xml:space="preserve"> countries, this report also took into consideration the </w:t>
      </w:r>
      <w:r w:rsidR="00816A14" w:rsidRPr="00816A14">
        <w:rPr>
          <w:sz w:val="24"/>
          <w:szCs w:val="24"/>
        </w:rPr>
        <w:t>Country report</w:t>
      </w:r>
      <w:r w:rsidR="00816A14">
        <w:rPr>
          <w:sz w:val="24"/>
          <w:szCs w:val="24"/>
        </w:rPr>
        <w:t>s on</w:t>
      </w:r>
      <w:r w:rsidR="00816A14" w:rsidRPr="00816A14">
        <w:rPr>
          <w:sz w:val="24"/>
          <w:szCs w:val="24"/>
        </w:rPr>
        <w:t xml:space="preserve"> gender equality </w:t>
      </w:r>
      <w:r w:rsidR="00816A14">
        <w:rPr>
          <w:sz w:val="24"/>
          <w:szCs w:val="24"/>
        </w:rPr>
        <w:t xml:space="preserve">from </w:t>
      </w:r>
      <w:r w:rsidR="00816A14" w:rsidRPr="00816A14">
        <w:rPr>
          <w:sz w:val="24"/>
          <w:szCs w:val="24"/>
        </w:rPr>
        <w:t>2022</w:t>
      </w:r>
      <w:r w:rsidR="00816A14">
        <w:rPr>
          <w:sz w:val="24"/>
          <w:szCs w:val="24"/>
        </w:rPr>
        <w:t xml:space="preserve"> by the </w:t>
      </w:r>
      <w:r w:rsidR="00816A14" w:rsidRPr="00816A14">
        <w:rPr>
          <w:sz w:val="24"/>
          <w:szCs w:val="24"/>
        </w:rPr>
        <w:t>European Equality Law Network set up by the European Commission.</w:t>
      </w:r>
    </w:p>
    <w:p w14:paraId="679EE1FE" w14:textId="46A4DAA2" w:rsidR="00816A14" w:rsidRDefault="0033716F" w:rsidP="00816A14">
      <w:pPr>
        <w:rPr>
          <w:sz w:val="24"/>
          <w:szCs w:val="24"/>
        </w:rPr>
      </w:pPr>
      <w:r>
        <w:rPr>
          <w:sz w:val="24"/>
          <w:szCs w:val="24"/>
        </w:rPr>
        <w:t>The report focuses</w:t>
      </w:r>
      <w:r w:rsidR="004020DE">
        <w:rPr>
          <w:sz w:val="24"/>
          <w:szCs w:val="24"/>
        </w:rPr>
        <w:t xml:space="preserve"> mostly </w:t>
      </w:r>
      <w:r>
        <w:rPr>
          <w:sz w:val="24"/>
          <w:szCs w:val="24"/>
        </w:rPr>
        <w:t>on</w:t>
      </w:r>
      <w:r w:rsidR="004020DE">
        <w:rPr>
          <w:sz w:val="24"/>
          <w:szCs w:val="24"/>
        </w:rPr>
        <w:t xml:space="preserve"> CEDAW reports from the period between 2018-2023</w:t>
      </w:r>
      <w:r w:rsidR="00816A14">
        <w:rPr>
          <w:sz w:val="24"/>
          <w:szCs w:val="24"/>
        </w:rPr>
        <w:t xml:space="preserve">, though two </w:t>
      </w:r>
      <w:proofErr w:type="gramStart"/>
      <w:r w:rsidR="00816A14">
        <w:rPr>
          <w:sz w:val="24"/>
          <w:szCs w:val="24"/>
        </w:rPr>
        <w:t>date</w:t>
      </w:r>
      <w:proofErr w:type="gramEnd"/>
      <w:r w:rsidR="00816A14">
        <w:rPr>
          <w:sz w:val="24"/>
          <w:szCs w:val="24"/>
        </w:rPr>
        <w:t xml:space="preserve"> back to 2015 because no earlier reports were found for the country and to illustrate potential structural issues.</w:t>
      </w:r>
    </w:p>
    <w:p w14:paraId="39DD77DE" w14:textId="2323F95A" w:rsidR="00D45124" w:rsidRDefault="00D45124" w:rsidP="00816A14">
      <w:pPr>
        <w:rPr>
          <w:sz w:val="24"/>
          <w:szCs w:val="24"/>
        </w:rPr>
      </w:pPr>
      <w:r>
        <w:rPr>
          <w:sz w:val="24"/>
          <w:szCs w:val="24"/>
        </w:rPr>
        <w:t xml:space="preserve">In limited cases, the report also uses published journals to understand and contextualize foreign legislation. </w:t>
      </w:r>
    </w:p>
    <w:p w14:paraId="7C1D416F" w14:textId="67BD0C86" w:rsidR="00816A14" w:rsidRDefault="00816A14" w:rsidP="00816A14">
      <w:pPr>
        <w:rPr>
          <w:sz w:val="24"/>
          <w:szCs w:val="24"/>
        </w:rPr>
      </w:pPr>
      <w:r>
        <w:rPr>
          <w:sz w:val="24"/>
          <w:szCs w:val="24"/>
        </w:rPr>
        <w:t>The study tracks legislated quotas in foreign service, the security service, whether a country has mandatory military service and for what sex, whether a country has proposed a WPS NAP and how specific the goals listed are. With regards to the security sector, the list also notes structural issues such as access to equipment, uniforms, facilities, or other restrictions women may face.</w:t>
      </w:r>
    </w:p>
    <w:p w14:paraId="1A99A434" w14:textId="1C63A1F1" w:rsidR="00462CD6" w:rsidRDefault="00462CD6" w:rsidP="00462CD6">
      <w:pPr>
        <w:rPr>
          <w:sz w:val="24"/>
          <w:szCs w:val="24"/>
        </w:rPr>
      </w:pPr>
      <w:r w:rsidRPr="002D3865">
        <w:rPr>
          <w:sz w:val="24"/>
          <w:szCs w:val="24"/>
        </w:rPr>
        <w:t xml:space="preserve">The difficulty of establishing how exactly ambassadors is being appointed and whether public service regulations extend to the foreign service adds to the difficulty </w:t>
      </w:r>
      <w:r>
        <w:rPr>
          <w:sz w:val="24"/>
          <w:szCs w:val="24"/>
        </w:rPr>
        <w:t xml:space="preserve">when </w:t>
      </w:r>
      <w:r w:rsidRPr="002D3865">
        <w:rPr>
          <w:sz w:val="24"/>
          <w:szCs w:val="24"/>
        </w:rPr>
        <w:t>ascertaining whether legislated quotas have been adopted.</w:t>
      </w:r>
      <w:r>
        <w:rPr>
          <w:sz w:val="24"/>
          <w:szCs w:val="24"/>
        </w:rPr>
        <w:t xml:space="preserve"> Due to linguistic limitations and lack of legal expertise of one jurisdiction, it can be difficult to ascertain whether public service quotas extend to the foreign service and the military. </w:t>
      </w:r>
    </w:p>
    <w:p w14:paraId="41D8F02E" w14:textId="5881259D" w:rsidR="00C96364" w:rsidRPr="002D3865" w:rsidRDefault="00462CD6" w:rsidP="002D3865">
      <w:pPr>
        <w:pStyle w:val="Heading2"/>
        <w:rPr>
          <w:sz w:val="24"/>
        </w:rPr>
      </w:pPr>
      <w:r>
        <w:rPr>
          <w:sz w:val="24"/>
        </w:rPr>
        <w:t xml:space="preserve">Short Analysis </w:t>
      </w:r>
    </w:p>
    <w:p w14:paraId="2DF74682" w14:textId="28F6E75F" w:rsidR="00F40383" w:rsidRPr="002D3865" w:rsidRDefault="00F40383" w:rsidP="00F40383">
      <w:pPr>
        <w:rPr>
          <w:sz w:val="24"/>
          <w:szCs w:val="24"/>
        </w:rPr>
      </w:pPr>
      <w:r w:rsidRPr="002D3865">
        <w:rPr>
          <w:sz w:val="24"/>
          <w:szCs w:val="24"/>
        </w:rPr>
        <w:t>Few countries have legislated quotas in the foreign service. Out of 48 European jurisdictions, only 18 have over 30% of</w:t>
      </w:r>
      <w:r w:rsidR="00FC5273" w:rsidRPr="002D3865">
        <w:rPr>
          <w:sz w:val="24"/>
          <w:szCs w:val="24"/>
        </w:rPr>
        <w:t xml:space="preserve"> female</w:t>
      </w:r>
      <w:r w:rsidRPr="002D3865">
        <w:rPr>
          <w:sz w:val="24"/>
          <w:szCs w:val="24"/>
        </w:rPr>
        <w:t xml:space="preserve"> ambassadors. </w:t>
      </w:r>
      <w:r w:rsidRPr="002D3865">
        <w:rPr>
          <w:sz w:val="24"/>
          <w:szCs w:val="24"/>
          <w:vertAlign w:val="superscript"/>
        </w:rPr>
        <w:footnoteReference w:id="2"/>
      </w:r>
      <w:r w:rsidRPr="002D3865">
        <w:rPr>
          <w:sz w:val="24"/>
          <w:szCs w:val="24"/>
        </w:rPr>
        <w:t xml:space="preserve"> </w:t>
      </w:r>
    </w:p>
    <w:p w14:paraId="73F9191D" w14:textId="6909EAD4" w:rsidR="00462CD6" w:rsidRPr="002D3865" w:rsidRDefault="00462CD6" w:rsidP="00462CD6">
      <w:pPr>
        <w:rPr>
          <w:sz w:val="24"/>
          <w:szCs w:val="24"/>
        </w:rPr>
      </w:pPr>
      <w:r>
        <w:rPr>
          <w:sz w:val="24"/>
          <w:szCs w:val="24"/>
        </w:rPr>
        <w:lastRenderedPageBreak/>
        <w:t xml:space="preserve">The military is not a traditional women’s domain in Europe. </w:t>
      </w:r>
      <w:r w:rsidR="00F40383" w:rsidRPr="002D3865">
        <w:rPr>
          <w:sz w:val="24"/>
          <w:szCs w:val="24"/>
        </w:rPr>
        <w:t>The</w:t>
      </w:r>
      <w:r w:rsidR="008C7546" w:rsidRPr="002D3865">
        <w:rPr>
          <w:sz w:val="24"/>
          <w:szCs w:val="24"/>
        </w:rPr>
        <w:t>re are</w:t>
      </w:r>
      <w:r>
        <w:rPr>
          <w:sz w:val="24"/>
          <w:szCs w:val="24"/>
        </w:rPr>
        <w:t xml:space="preserve"> therefore</w:t>
      </w:r>
      <w:r w:rsidR="008C7546" w:rsidRPr="002D3865">
        <w:rPr>
          <w:sz w:val="24"/>
          <w:szCs w:val="24"/>
        </w:rPr>
        <w:t xml:space="preserve"> </w:t>
      </w:r>
      <w:r w:rsidR="00FC5273" w:rsidRPr="002D3865">
        <w:rPr>
          <w:sz w:val="24"/>
          <w:szCs w:val="24"/>
        </w:rPr>
        <w:t>few</w:t>
      </w:r>
      <w:r w:rsidR="008C7546" w:rsidRPr="002D3865">
        <w:rPr>
          <w:sz w:val="24"/>
          <w:szCs w:val="24"/>
        </w:rPr>
        <w:t xml:space="preserve"> measures adopted to promote women in</w:t>
      </w:r>
      <w:r w:rsidR="00F40383" w:rsidRPr="002D3865">
        <w:rPr>
          <w:sz w:val="24"/>
          <w:szCs w:val="24"/>
        </w:rPr>
        <w:t xml:space="preserve"> military leadership</w:t>
      </w:r>
      <w:r w:rsidR="008C7546" w:rsidRPr="002D3865">
        <w:rPr>
          <w:sz w:val="24"/>
          <w:szCs w:val="24"/>
        </w:rPr>
        <w:t>.</w:t>
      </w:r>
      <w:r>
        <w:rPr>
          <w:sz w:val="24"/>
          <w:szCs w:val="24"/>
        </w:rPr>
        <w:t xml:space="preserve"> Moreover, this exclusion of women as military decision-makers also spans into other fields. Out </w:t>
      </w:r>
      <w:r w:rsidR="007C7664" w:rsidRPr="002D3865">
        <w:rPr>
          <w:sz w:val="24"/>
          <w:szCs w:val="24"/>
        </w:rPr>
        <w:t xml:space="preserve">of 48 European jurisdictions, </w:t>
      </w:r>
      <w:r w:rsidR="00FC5273" w:rsidRPr="002D3865">
        <w:rPr>
          <w:sz w:val="24"/>
          <w:szCs w:val="24"/>
        </w:rPr>
        <w:t>nine states parties</w:t>
      </w:r>
      <w:r w:rsidR="007C7664" w:rsidRPr="002D3865">
        <w:rPr>
          <w:sz w:val="24"/>
          <w:szCs w:val="24"/>
        </w:rPr>
        <w:t xml:space="preserve"> had </w:t>
      </w:r>
      <w:r w:rsidR="00D36D47" w:rsidRPr="002D3865">
        <w:rPr>
          <w:sz w:val="24"/>
          <w:szCs w:val="24"/>
        </w:rPr>
        <w:t>over 30%</w:t>
      </w:r>
      <w:r w:rsidR="00FC5273" w:rsidRPr="002D3865">
        <w:rPr>
          <w:sz w:val="24"/>
          <w:szCs w:val="24"/>
        </w:rPr>
        <w:t xml:space="preserve"> of</w:t>
      </w:r>
      <w:r w:rsidR="00D36D47" w:rsidRPr="002D3865">
        <w:rPr>
          <w:sz w:val="24"/>
          <w:szCs w:val="24"/>
        </w:rPr>
        <w:t xml:space="preserve"> women on parliamentary defense committees in 2021.</w:t>
      </w:r>
      <w:r w:rsidR="00D36D47" w:rsidRPr="002D3865">
        <w:rPr>
          <w:rStyle w:val="FootnoteReference"/>
          <w:sz w:val="24"/>
          <w:szCs w:val="24"/>
        </w:rPr>
        <w:footnoteReference w:id="3"/>
      </w:r>
    </w:p>
    <w:p w14:paraId="1432F027" w14:textId="77777777" w:rsidR="003168F8" w:rsidRPr="00662CBC" w:rsidRDefault="003168F8" w:rsidP="003168F8">
      <w:pPr>
        <w:sectPr w:rsidR="003168F8" w:rsidRPr="00662CBC">
          <w:pgSz w:w="11906" w:h="16838"/>
          <w:pgMar w:top="1440" w:right="1440" w:bottom="1440" w:left="1440" w:header="708" w:footer="708" w:gutter="0"/>
          <w:cols w:space="708"/>
          <w:docGrid w:linePitch="360"/>
        </w:sectPr>
      </w:pPr>
    </w:p>
    <w:p w14:paraId="0133B7FA" w14:textId="77777777" w:rsidR="003168F8" w:rsidRPr="00662CBC" w:rsidRDefault="003168F8" w:rsidP="003168F8">
      <w:pPr>
        <w:pStyle w:val="Heading1"/>
      </w:pPr>
      <w:bookmarkStart w:id="1" w:name="_Toc132806685"/>
      <w:r w:rsidRPr="00662CBC">
        <w:lastRenderedPageBreak/>
        <w:t>ApPendix I</w:t>
      </w:r>
      <w:bookmarkEnd w:id="1"/>
      <w:r w:rsidRPr="00662CBC">
        <w:t xml:space="preserve"> </w:t>
      </w:r>
    </w:p>
    <w:p w14:paraId="3825A0F3" w14:textId="77777777" w:rsidR="003168F8" w:rsidRPr="00662CBC" w:rsidRDefault="003168F8" w:rsidP="003168F8">
      <w:pPr>
        <w:pStyle w:val="Heading2"/>
      </w:pPr>
      <w:bookmarkStart w:id="2" w:name="_Toc132806686"/>
      <w:r w:rsidRPr="00662CBC">
        <w:t>Legend</w:t>
      </w:r>
      <w:bookmarkEnd w:id="2"/>
      <w:r w:rsidRPr="00662CBC">
        <w:t xml:space="preserve"> </w:t>
      </w:r>
    </w:p>
    <w:tbl>
      <w:tblPr>
        <w:tblStyle w:val="TableGrid"/>
        <w:tblW w:w="14505" w:type="dxa"/>
        <w:tblLook w:val="04A0" w:firstRow="1" w:lastRow="0" w:firstColumn="1" w:lastColumn="0" w:noHBand="0" w:noVBand="1"/>
      </w:tblPr>
      <w:tblGrid>
        <w:gridCol w:w="1622"/>
        <w:gridCol w:w="1589"/>
        <w:gridCol w:w="1541"/>
        <w:gridCol w:w="1633"/>
        <w:gridCol w:w="1633"/>
        <w:gridCol w:w="1615"/>
        <w:gridCol w:w="1618"/>
        <w:gridCol w:w="1627"/>
        <w:gridCol w:w="1627"/>
      </w:tblGrid>
      <w:tr w:rsidR="0019346A" w:rsidRPr="00662CBC" w14:paraId="31C780A6" w14:textId="77777777" w:rsidTr="0019346A">
        <w:tc>
          <w:tcPr>
            <w:tcW w:w="1622" w:type="dxa"/>
            <w:shd w:val="clear" w:color="auto" w:fill="C00000"/>
          </w:tcPr>
          <w:p w14:paraId="169C6DC9" w14:textId="77777777" w:rsidR="0019346A" w:rsidRPr="00662CBC" w:rsidRDefault="0019346A" w:rsidP="006064D6">
            <w:pPr>
              <w:rPr>
                <w:b/>
                <w:bCs/>
              </w:rPr>
            </w:pPr>
            <w:r w:rsidRPr="00662CBC">
              <w:rPr>
                <w:b/>
                <w:bCs/>
              </w:rPr>
              <w:t xml:space="preserve">No legislated quota  </w:t>
            </w:r>
          </w:p>
        </w:tc>
        <w:tc>
          <w:tcPr>
            <w:tcW w:w="1589" w:type="dxa"/>
            <w:shd w:val="clear" w:color="auto" w:fill="FB786F"/>
          </w:tcPr>
          <w:p w14:paraId="0A2C7F5B" w14:textId="77777777" w:rsidR="0019346A" w:rsidRPr="00662CBC" w:rsidRDefault="0019346A" w:rsidP="006064D6">
            <w:pPr>
              <w:rPr>
                <w:b/>
                <w:bCs/>
              </w:rPr>
            </w:pPr>
            <w:r w:rsidRPr="00662CBC">
              <w:rPr>
                <w:b/>
                <w:bCs/>
              </w:rPr>
              <w:t>No voluntary quotas</w:t>
            </w:r>
          </w:p>
        </w:tc>
        <w:tc>
          <w:tcPr>
            <w:tcW w:w="1541" w:type="dxa"/>
            <w:shd w:val="clear" w:color="auto" w:fill="F2FB93"/>
          </w:tcPr>
          <w:p w14:paraId="681E7689" w14:textId="77777777" w:rsidR="0019346A" w:rsidRPr="00662CBC" w:rsidRDefault="0019346A" w:rsidP="006064D6">
            <w:pPr>
              <w:rPr>
                <w:b/>
                <w:bCs/>
              </w:rPr>
            </w:pPr>
            <w:r w:rsidRPr="00662CBC">
              <w:rPr>
                <w:b/>
                <w:bCs/>
              </w:rPr>
              <w:t xml:space="preserve">Voluntary quotas </w:t>
            </w:r>
          </w:p>
        </w:tc>
        <w:tc>
          <w:tcPr>
            <w:tcW w:w="1633" w:type="dxa"/>
            <w:shd w:val="clear" w:color="auto" w:fill="92D050"/>
          </w:tcPr>
          <w:p w14:paraId="73B6539D" w14:textId="77777777" w:rsidR="0019346A" w:rsidRPr="00662CBC" w:rsidRDefault="0019346A" w:rsidP="006064D6">
            <w:pPr>
              <w:rPr>
                <w:b/>
                <w:bCs/>
              </w:rPr>
            </w:pPr>
            <w:r w:rsidRPr="00662CBC">
              <w:rPr>
                <w:b/>
                <w:bCs/>
              </w:rPr>
              <w:t xml:space="preserve">Soft Quota or no sanction </w:t>
            </w:r>
          </w:p>
        </w:tc>
        <w:tc>
          <w:tcPr>
            <w:tcW w:w="1633" w:type="dxa"/>
            <w:tcBorders>
              <w:right w:val="single" w:sz="4" w:space="0" w:color="000000"/>
            </w:tcBorders>
            <w:shd w:val="clear" w:color="auto" w:fill="098C44"/>
          </w:tcPr>
          <w:p w14:paraId="34B292D1" w14:textId="77777777" w:rsidR="0019346A" w:rsidRPr="00662CBC" w:rsidRDefault="0019346A" w:rsidP="006064D6">
            <w:pPr>
              <w:rPr>
                <w:b/>
                <w:bCs/>
              </w:rPr>
            </w:pPr>
            <w:r w:rsidRPr="00662CBC">
              <w:rPr>
                <w:b/>
                <w:bCs/>
                <w:color w:val="FFFFFF" w:themeColor="background1"/>
              </w:rPr>
              <w:t xml:space="preserve">Legislated Quota </w:t>
            </w:r>
          </w:p>
        </w:tc>
        <w:tc>
          <w:tcPr>
            <w:tcW w:w="1615" w:type="dxa"/>
            <w:tcBorders>
              <w:right w:val="single" w:sz="4" w:space="0" w:color="000000"/>
            </w:tcBorders>
            <w:shd w:val="clear" w:color="auto" w:fill="00B0F0"/>
          </w:tcPr>
          <w:p w14:paraId="5D72B7BC" w14:textId="435CD033" w:rsidR="0019346A" w:rsidRPr="00662CBC" w:rsidRDefault="0019346A" w:rsidP="006064D6">
            <w:pPr>
              <w:rPr>
                <w:b/>
                <w:bCs/>
                <w:color w:val="FFFFFF" w:themeColor="background1"/>
              </w:rPr>
            </w:pPr>
            <w:r>
              <w:rPr>
                <w:b/>
                <w:bCs/>
                <w:color w:val="FFFFFF" w:themeColor="background1"/>
              </w:rPr>
              <w:t>Probably a legislated quota</w:t>
            </w:r>
          </w:p>
        </w:tc>
        <w:tc>
          <w:tcPr>
            <w:tcW w:w="1618" w:type="dxa"/>
            <w:tcBorders>
              <w:left w:val="single" w:sz="4" w:space="0" w:color="000000"/>
              <w:right w:val="threeDEmboss" w:sz="24" w:space="0" w:color="002060"/>
            </w:tcBorders>
            <w:shd w:val="clear" w:color="auto" w:fill="5F5F5F" w:themeFill="accent5"/>
          </w:tcPr>
          <w:p w14:paraId="41B71B3E" w14:textId="12DA581B" w:rsidR="0019346A" w:rsidRPr="00662CBC" w:rsidRDefault="0019346A" w:rsidP="006064D6">
            <w:pPr>
              <w:rPr>
                <w:b/>
                <w:bCs/>
              </w:rPr>
            </w:pPr>
            <w:r w:rsidRPr="00662CBC">
              <w:rPr>
                <w:b/>
                <w:bCs/>
                <w:color w:val="FFFFFF" w:themeColor="background1"/>
              </w:rPr>
              <w:t>No Data</w:t>
            </w:r>
            <w:r w:rsidRPr="005D2F5A">
              <w:rPr>
                <w:rStyle w:val="FootnoteReference"/>
              </w:rPr>
              <w:footnoteReference w:id="4"/>
            </w:r>
          </w:p>
        </w:tc>
        <w:tc>
          <w:tcPr>
            <w:tcW w:w="1627" w:type="dxa"/>
            <w:tcBorders>
              <w:top w:val="threeDEmboss" w:sz="24" w:space="0" w:color="002060"/>
              <w:left w:val="threeDEmboss" w:sz="24" w:space="0" w:color="002060"/>
              <w:bottom w:val="threeDEmboss" w:sz="24" w:space="0" w:color="002060"/>
              <w:right w:val="threeDEmboss" w:sz="24" w:space="0" w:color="002060"/>
            </w:tcBorders>
            <w:shd w:val="clear" w:color="auto" w:fill="C00000"/>
          </w:tcPr>
          <w:p w14:paraId="289CDFA8" w14:textId="77777777" w:rsidR="0019346A" w:rsidRPr="00662CBC" w:rsidRDefault="0019346A" w:rsidP="006064D6">
            <w:pPr>
              <w:rPr>
                <w:b/>
                <w:bCs/>
              </w:rPr>
            </w:pPr>
            <w:r w:rsidRPr="00662CBC">
              <w:rPr>
                <w:b/>
                <w:bCs/>
              </w:rPr>
              <w:t>European Union Member State (and the European Union)</w:t>
            </w:r>
          </w:p>
        </w:tc>
        <w:tc>
          <w:tcPr>
            <w:tcW w:w="1627" w:type="dxa"/>
            <w:tcBorders>
              <w:top w:val="threeDEmboss" w:sz="24" w:space="0" w:color="00B0F0"/>
              <w:left w:val="threeDEmboss" w:sz="24" w:space="0" w:color="002060"/>
              <w:bottom w:val="threeDEmboss" w:sz="24" w:space="0" w:color="00B0F0"/>
              <w:right w:val="threeDEmboss" w:sz="24" w:space="0" w:color="00B0F0"/>
            </w:tcBorders>
          </w:tcPr>
          <w:p w14:paraId="253D0A79" w14:textId="77777777" w:rsidR="0019346A" w:rsidRPr="00662CBC" w:rsidRDefault="0019346A" w:rsidP="006064D6">
            <w:pPr>
              <w:rPr>
                <w:b/>
                <w:bCs/>
              </w:rPr>
            </w:pPr>
            <w:r w:rsidRPr="00662CBC">
              <w:rPr>
                <w:b/>
                <w:bCs/>
              </w:rPr>
              <w:t xml:space="preserve">EEA Member State </w:t>
            </w:r>
          </w:p>
        </w:tc>
      </w:tr>
    </w:tbl>
    <w:p w14:paraId="4D9F3F17" w14:textId="77777777" w:rsidR="003168F8" w:rsidRPr="00662CBC" w:rsidRDefault="003168F8" w:rsidP="003168F8">
      <w:pPr>
        <w:rPr>
          <w:b/>
          <w:bCs/>
          <w:i/>
          <w:iCs/>
        </w:rPr>
      </w:pPr>
      <w:r w:rsidRPr="00662CBC">
        <w:rPr>
          <w:b/>
          <w:bCs/>
          <w:i/>
          <w:iCs/>
        </w:rPr>
        <w:t>C=Constitution</w:t>
      </w:r>
    </w:p>
    <w:p w14:paraId="71442693" w14:textId="77777777" w:rsidR="003168F8" w:rsidRPr="00662CBC" w:rsidRDefault="003168F8" w:rsidP="003168F8">
      <w:pPr>
        <w:rPr>
          <w:b/>
          <w:bCs/>
          <w:i/>
          <w:iCs/>
        </w:rPr>
      </w:pPr>
      <w:r w:rsidRPr="00662CBC">
        <w:rPr>
          <w:b/>
          <w:bCs/>
          <w:i/>
          <w:iCs/>
        </w:rPr>
        <w:t>L=Law</w:t>
      </w:r>
    </w:p>
    <w:p w14:paraId="5E88D1B5" w14:textId="77777777" w:rsidR="003168F8" w:rsidRPr="00662CBC" w:rsidRDefault="003168F8" w:rsidP="003168F8">
      <w:pPr>
        <w:rPr>
          <w:b/>
          <w:bCs/>
        </w:rPr>
      </w:pPr>
      <w:r w:rsidRPr="00662CBC">
        <w:rPr>
          <w:b/>
          <w:bCs/>
        </w:rPr>
        <w:t>S = Subnational level</w:t>
      </w:r>
    </w:p>
    <w:p w14:paraId="41E1F3C8" w14:textId="77777777" w:rsidR="003168F8" w:rsidRPr="00662CBC" w:rsidRDefault="003168F8" w:rsidP="003168F8">
      <w:pPr>
        <w:spacing w:before="0" w:after="200"/>
        <w:jc w:val="left"/>
        <w:rPr>
          <w:caps/>
          <w:color w:val="595959" w:themeColor="accent2" w:themeShade="80"/>
          <w:spacing w:val="15"/>
          <w:szCs w:val="24"/>
        </w:rPr>
      </w:pPr>
      <w:r w:rsidRPr="00662CBC">
        <w:br w:type="page"/>
      </w:r>
    </w:p>
    <w:p w14:paraId="14521022" w14:textId="77777777" w:rsidR="003168F8" w:rsidRPr="00662CBC" w:rsidRDefault="003168F8" w:rsidP="003168F8">
      <w:pPr>
        <w:pStyle w:val="Heading2"/>
      </w:pPr>
      <w:bookmarkStart w:id="3" w:name="_Toc132806687"/>
      <w:r w:rsidRPr="00662CBC">
        <w:lastRenderedPageBreak/>
        <w:t>Summarized Finding</w:t>
      </w:r>
      <w:bookmarkEnd w:id="3"/>
      <w:r w:rsidRPr="00662CBC">
        <w:t xml:space="preserve"> </w:t>
      </w:r>
    </w:p>
    <w:tbl>
      <w:tblPr>
        <w:tblStyle w:val="TableGrid"/>
        <w:tblW w:w="14707" w:type="dxa"/>
        <w:tblInd w:w="-147" w:type="dxa"/>
        <w:tblLook w:val="04A0" w:firstRow="1" w:lastRow="0" w:firstColumn="1" w:lastColumn="0" w:noHBand="0" w:noVBand="1"/>
      </w:tblPr>
      <w:tblGrid>
        <w:gridCol w:w="426"/>
        <w:gridCol w:w="1309"/>
        <w:gridCol w:w="1111"/>
        <w:gridCol w:w="1561"/>
        <w:gridCol w:w="1269"/>
        <w:gridCol w:w="1116"/>
        <w:gridCol w:w="1275"/>
        <w:gridCol w:w="1153"/>
        <w:gridCol w:w="927"/>
        <w:gridCol w:w="1270"/>
        <w:gridCol w:w="1795"/>
        <w:gridCol w:w="1495"/>
      </w:tblGrid>
      <w:tr w:rsidR="003168F8" w:rsidRPr="00662CBC" w14:paraId="2A9E3488" w14:textId="77777777" w:rsidTr="006064D6">
        <w:trPr>
          <w:tblHeader/>
        </w:trPr>
        <w:tc>
          <w:tcPr>
            <w:tcW w:w="426" w:type="dxa"/>
            <w:tcBorders>
              <w:bottom w:val="dotted" w:sz="4" w:space="0" w:color="FFFFFF" w:themeColor="background1"/>
            </w:tcBorders>
            <w:shd w:val="clear" w:color="auto" w:fill="000000" w:themeFill="text2"/>
          </w:tcPr>
          <w:p w14:paraId="2B419EFA" w14:textId="77777777" w:rsidR="003168F8" w:rsidRPr="00662CBC" w:rsidRDefault="003168F8" w:rsidP="006064D6">
            <w:pPr>
              <w:ind w:right="-429"/>
              <w:jc w:val="center"/>
              <w:rPr>
                <w:b/>
                <w:bCs/>
              </w:rPr>
            </w:pPr>
          </w:p>
        </w:tc>
        <w:tc>
          <w:tcPr>
            <w:tcW w:w="1309" w:type="dxa"/>
            <w:tcBorders>
              <w:bottom w:val="dotted" w:sz="4" w:space="0" w:color="FFFFFF" w:themeColor="background1"/>
            </w:tcBorders>
            <w:shd w:val="clear" w:color="auto" w:fill="000000" w:themeFill="text2"/>
          </w:tcPr>
          <w:p w14:paraId="0F7CA042" w14:textId="77777777" w:rsidR="003168F8" w:rsidRPr="00662CBC" w:rsidRDefault="003168F8" w:rsidP="006064D6">
            <w:pPr>
              <w:jc w:val="center"/>
              <w:rPr>
                <w:b/>
                <w:bCs/>
              </w:rPr>
            </w:pPr>
            <w:r w:rsidRPr="00662CBC">
              <w:rPr>
                <w:b/>
                <w:bCs/>
              </w:rPr>
              <w:t>Name of Country</w:t>
            </w:r>
          </w:p>
        </w:tc>
        <w:tc>
          <w:tcPr>
            <w:tcW w:w="1111" w:type="dxa"/>
            <w:tcBorders>
              <w:bottom w:val="dotted" w:sz="4" w:space="0" w:color="FFFFFF" w:themeColor="background1"/>
            </w:tcBorders>
            <w:shd w:val="clear" w:color="auto" w:fill="000000" w:themeFill="text2"/>
          </w:tcPr>
          <w:p w14:paraId="3B1CC9BC" w14:textId="77777777" w:rsidR="003168F8" w:rsidRPr="00662CBC" w:rsidRDefault="003168F8" w:rsidP="006064D6">
            <w:pPr>
              <w:jc w:val="center"/>
              <w:rPr>
                <w:b/>
                <w:bCs/>
                <w:color w:val="FFFFFF" w:themeColor="background1"/>
              </w:rPr>
            </w:pPr>
            <w:r w:rsidRPr="00662CBC">
              <w:rPr>
                <w:b/>
                <w:bCs/>
                <w:color w:val="FFFFFF" w:themeColor="background1"/>
              </w:rPr>
              <w:t>Political Quota Groups</w:t>
            </w:r>
          </w:p>
          <w:p w14:paraId="5A740F41" w14:textId="77777777" w:rsidR="003168F8" w:rsidRPr="00662CBC" w:rsidRDefault="003168F8" w:rsidP="006064D6">
            <w:pPr>
              <w:jc w:val="center"/>
              <w:rPr>
                <w:b/>
                <w:bCs/>
                <w:color w:val="FFFFFF" w:themeColor="background1"/>
              </w:rPr>
            </w:pPr>
          </w:p>
        </w:tc>
        <w:tc>
          <w:tcPr>
            <w:tcW w:w="1561" w:type="dxa"/>
            <w:tcBorders>
              <w:bottom w:val="dotted" w:sz="4" w:space="0" w:color="FFFFFF" w:themeColor="background1"/>
            </w:tcBorders>
            <w:shd w:val="clear" w:color="auto" w:fill="000000" w:themeFill="text2"/>
          </w:tcPr>
          <w:p w14:paraId="317A2846" w14:textId="77777777" w:rsidR="003168F8" w:rsidRPr="00662CBC" w:rsidRDefault="003168F8" w:rsidP="006064D6">
            <w:pPr>
              <w:jc w:val="center"/>
              <w:rPr>
                <w:b/>
                <w:bCs/>
                <w:color w:val="FFFFFF" w:themeColor="background1"/>
              </w:rPr>
            </w:pPr>
            <w:r w:rsidRPr="00662CBC">
              <w:rPr>
                <w:b/>
                <w:bCs/>
                <w:color w:val="FFFFFF" w:themeColor="background1"/>
              </w:rPr>
              <w:t>Political Quota Gender</w:t>
            </w:r>
            <w:r w:rsidRPr="005D2F5A">
              <w:rPr>
                <w:rStyle w:val="FootnoteReference"/>
              </w:rPr>
              <w:footnoteReference w:id="5"/>
            </w:r>
          </w:p>
        </w:tc>
        <w:tc>
          <w:tcPr>
            <w:tcW w:w="1269" w:type="dxa"/>
            <w:tcBorders>
              <w:bottom w:val="dotted" w:sz="4" w:space="0" w:color="FFFFFF" w:themeColor="background1"/>
            </w:tcBorders>
            <w:shd w:val="clear" w:color="auto" w:fill="000000" w:themeFill="text2"/>
          </w:tcPr>
          <w:p w14:paraId="3667E257" w14:textId="77777777" w:rsidR="003168F8" w:rsidRPr="00662CBC" w:rsidRDefault="003168F8" w:rsidP="006064D6">
            <w:pPr>
              <w:jc w:val="center"/>
              <w:rPr>
                <w:b/>
                <w:bCs/>
              </w:rPr>
            </w:pPr>
            <w:r w:rsidRPr="00662CBC">
              <w:rPr>
                <w:b/>
                <w:bCs/>
              </w:rPr>
              <w:t>Voluntary Political Party Quota</w:t>
            </w:r>
          </w:p>
        </w:tc>
        <w:tc>
          <w:tcPr>
            <w:tcW w:w="0" w:type="auto"/>
            <w:tcBorders>
              <w:bottom w:val="dotted" w:sz="4" w:space="0" w:color="FFFFFF" w:themeColor="background1"/>
            </w:tcBorders>
            <w:shd w:val="clear" w:color="auto" w:fill="000000" w:themeFill="text2"/>
          </w:tcPr>
          <w:p w14:paraId="4A630670" w14:textId="77777777" w:rsidR="003168F8" w:rsidRPr="00662CBC" w:rsidRDefault="003168F8" w:rsidP="006064D6">
            <w:pPr>
              <w:jc w:val="center"/>
              <w:rPr>
                <w:b/>
                <w:bCs/>
              </w:rPr>
            </w:pPr>
            <w:r w:rsidRPr="00662CBC">
              <w:rPr>
                <w:b/>
                <w:bCs/>
              </w:rPr>
              <w:t>Corporate Board Quotas</w:t>
            </w:r>
          </w:p>
        </w:tc>
        <w:tc>
          <w:tcPr>
            <w:tcW w:w="1275" w:type="dxa"/>
            <w:tcBorders>
              <w:bottom w:val="dotted" w:sz="4" w:space="0" w:color="FFFFFF" w:themeColor="background1"/>
            </w:tcBorders>
            <w:shd w:val="clear" w:color="auto" w:fill="000000" w:themeFill="text2"/>
          </w:tcPr>
          <w:p w14:paraId="53FAC091" w14:textId="77777777" w:rsidR="003168F8" w:rsidRPr="00662CBC" w:rsidRDefault="003168F8" w:rsidP="006064D6">
            <w:pPr>
              <w:jc w:val="center"/>
              <w:rPr>
                <w:b/>
                <w:bCs/>
              </w:rPr>
            </w:pPr>
            <w:r w:rsidRPr="00662CBC">
              <w:rPr>
                <w:b/>
                <w:bCs/>
              </w:rPr>
              <w:t xml:space="preserve">Quotas for High-Level Positions in Academia </w:t>
            </w:r>
          </w:p>
        </w:tc>
        <w:tc>
          <w:tcPr>
            <w:tcW w:w="1153" w:type="dxa"/>
            <w:tcBorders>
              <w:bottom w:val="dotted" w:sz="4" w:space="0" w:color="FFFFFF" w:themeColor="background1"/>
            </w:tcBorders>
            <w:shd w:val="clear" w:color="auto" w:fill="000000" w:themeFill="text2"/>
          </w:tcPr>
          <w:p w14:paraId="55BA5843" w14:textId="73D65970" w:rsidR="003168F8" w:rsidRPr="00662CBC" w:rsidRDefault="003168F8" w:rsidP="006064D6">
            <w:pPr>
              <w:jc w:val="center"/>
              <w:rPr>
                <w:b/>
                <w:bCs/>
              </w:rPr>
            </w:pPr>
            <w:r w:rsidRPr="00662CBC">
              <w:rPr>
                <w:b/>
                <w:bCs/>
              </w:rPr>
              <w:t>Foreign Service</w:t>
            </w:r>
            <w:r w:rsidR="00764BE6">
              <w:rPr>
                <w:b/>
                <w:bCs/>
              </w:rPr>
              <w:t xml:space="preserve"> Leadership</w:t>
            </w:r>
          </w:p>
        </w:tc>
        <w:tc>
          <w:tcPr>
            <w:tcW w:w="927" w:type="dxa"/>
            <w:tcBorders>
              <w:bottom w:val="dotted" w:sz="4" w:space="0" w:color="FFFFFF" w:themeColor="background1"/>
            </w:tcBorders>
            <w:shd w:val="clear" w:color="auto" w:fill="000000" w:themeFill="text2"/>
          </w:tcPr>
          <w:p w14:paraId="68D8D728" w14:textId="26A7F02B" w:rsidR="00764BE6" w:rsidRPr="00662CBC" w:rsidRDefault="003168F8" w:rsidP="00764BE6">
            <w:pPr>
              <w:jc w:val="center"/>
              <w:rPr>
                <w:b/>
                <w:bCs/>
              </w:rPr>
            </w:pPr>
            <w:r w:rsidRPr="00662CBC">
              <w:rPr>
                <w:b/>
                <w:bCs/>
              </w:rPr>
              <w:t>Security</w:t>
            </w:r>
            <w:r w:rsidR="00764BE6">
              <w:rPr>
                <w:b/>
                <w:bCs/>
              </w:rPr>
              <w:t xml:space="preserve"> Leadership</w:t>
            </w:r>
          </w:p>
        </w:tc>
        <w:tc>
          <w:tcPr>
            <w:tcW w:w="1270" w:type="dxa"/>
            <w:tcBorders>
              <w:bottom w:val="dotted" w:sz="4" w:space="0" w:color="FFFFFF" w:themeColor="background1"/>
            </w:tcBorders>
            <w:shd w:val="clear" w:color="auto" w:fill="000000" w:themeFill="text2"/>
          </w:tcPr>
          <w:p w14:paraId="61C30B0C" w14:textId="77777777" w:rsidR="003168F8" w:rsidRPr="00662CBC" w:rsidRDefault="003168F8" w:rsidP="006064D6">
            <w:pPr>
              <w:jc w:val="center"/>
              <w:rPr>
                <w:b/>
                <w:bCs/>
              </w:rPr>
            </w:pPr>
            <w:r w:rsidRPr="00662CBC">
              <w:rPr>
                <w:b/>
                <w:bCs/>
              </w:rPr>
              <w:t>WPS NAP</w:t>
            </w:r>
          </w:p>
        </w:tc>
        <w:tc>
          <w:tcPr>
            <w:tcW w:w="1795" w:type="dxa"/>
            <w:tcBorders>
              <w:bottom w:val="dotted" w:sz="4" w:space="0" w:color="FFFFFF" w:themeColor="background1"/>
            </w:tcBorders>
            <w:shd w:val="clear" w:color="auto" w:fill="000000" w:themeFill="text2"/>
          </w:tcPr>
          <w:p w14:paraId="128BAC52" w14:textId="77777777" w:rsidR="003168F8" w:rsidRPr="00662CBC" w:rsidRDefault="003168F8" w:rsidP="006064D6">
            <w:pPr>
              <w:jc w:val="center"/>
              <w:rPr>
                <w:b/>
                <w:bCs/>
              </w:rPr>
            </w:pPr>
            <w:r w:rsidRPr="00662CBC">
              <w:rPr>
                <w:b/>
                <w:bCs/>
              </w:rPr>
              <w:t>Other</w:t>
            </w:r>
          </w:p>
        </w:tc>
        <w:tc>
          <w:tcPr>
            <w:tcW w:w="1495" w:type="dxa"/>
            <w:tcBorders>
              <w:bottom w:val="dotted" w:sz="4" w:space="0" w:color="FFFFFF" w:themeColor="background1"/>
            </w:tcBorders>
            <w:shd w:val="clear" w:color="auto" w:fill="000000" w:themeFill="text2"/>
          </w:tcPr>
          <w:p w14:paraId="135E7AEB" w14:textId="77777777" w:rsidR="003168F8" w:rsidRPr="00662CBC" w:rsidRDefault="003168F8" w:rsidP="006064D6">
            <w:pPr>
              <w:jc w:val="center"/>
              <w:rPr>
                <w:b/>
                <w:bCs/>
              </w:rPr>
            </w:pPr>
            <w:r w:rsidRPr="00662CBC">
              <w:rPr>
                <w:b/>
                <w:bCs/>
              </w:rPr>
              <w:t>Quota for people with disability in employment</w:t>
            </w:r>
          </w:p>
        </w:tc>
      </w:tr>
      <w:tr w:rsidR="003168F8" w:rsidRPr="00662CBC" w14:paraId="0834448D" w14:textId="77777777" w:rsidTr="0019346A">
        <w:tc>
          <w:tcPr>
            <w:tcW w:w="426"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14:paraId="125210DD"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14:paraId="715D9E63" w14:textId="77777777" w:rsidR="003168F8" w:rsidRPr="00662CBC" w:rsidRDefault="003168F8" w:rsidP="006064D6">
            <w:r w:rsidRPr="00662CBC">
              <w:t>Albania</w:t>
            </w:r>
          </w:p>
        </w:tc>
        <w:tc>
          <w:tcPr>
            <w:tcW w:w="1111"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098C44"/>
          </w:tcPr>
          <w:p w14:paraId="2F922D55" w14:textId="77777777" w:rsidR="003168F8" w:rsidRPr="00662CBC" w:rsidRDefault="003168F8" w:rsidP="006064D6">
            <w:pPr>
              <w:jc w:val="center"/>
              <w:rPr>
                <w:b/>
                <w:bCs/>
                <w:color w:val="FFFFFF" w:themeColor="background1"/>
              </w:rPr>
            </w:pPr>
            <w:r w:rsidRPr="00662CBC">
              <w:rPr>
                <w:b/>
                <w:bCs/>
                <w:color w:val="FFFFFF" w:themeColor="background1"/>
              </w:rPr>
              <w:t>C+L</w:t>
            </w:r>
          </w:p>
        </w:tc>
        <w:tc>
          <w:tcPr>
            <w:tcW w:w="1561"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098C44"/>
          </w:tcPr>
          <w:p w14:paraId="15E1E8FA" w14:textId="77777777" w:rsidR="003168F8" w:rsidRPr="00662CBC" w:rsidRDefault="003168F8" w:rsidP="006064D6">
            <w:pPr>
              <w:jc w:val="center"/>
              <w:rPr>
                <w:color w:val="FFFFFF" w:themeColor="background1"/>
              </w:rPr>
            </w:pPr>
            <w:r w:rsidRPr="00662CBC">
              <w:rPr>
                <w:b/>
                <w:bCs/>
                <w:color w:val="FFFFFF" w:themeColor="background1"/>
              </w:rPr>
              <w:t>C+L</w:t>
            </w:r>
          </w:p>
        </w:tc>
        <w:tc>
          <w:tcPr>
            <w:tcW w:w="1269"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FB786F"/>
          </w:tcPr>
          <w:p w14:paraId="16B38328" w14:textId="77777777" w:rsidR="003168F8" w:rsidRPr="00662CBC" w:rsidRDefault="003168F8" w:rsidP="006064D6"/>
        </w:tc>
        <w:tc>
          <w:tcPr>
            <w:tcW w:w="0" w:type="auto"/>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098C44"/>
          </w:tcPr>
          <w:p w14:paraId="7FBB622E" w14:textId="77777777" w:rsidR="003168F8" w:rsidRPr="00662CBC" w:rsidRDefault="003168F8" w:rsidP="006064D6">
            <w:pPr>
              <w:jc w:val="center"/>
              <w:rPr>
                <w:b/>
                <w:bCs/>
              </w:rPr>
            </w:pPr>
            <w:r w:rsidRPr="00662CBC">
              <w:rPr>
                <w:b/>
                <w:bCs/>
                <w:color w:val="FFFFFF" w:themeColor="background1"/>
              </w:rPr>
              <w:t>L</w:t>
            </w:r>
          </w:p>
        </w:tc>
        <w:tc>
          <w:tcPr>
            <w:tcW w:w="1275" w:type="dxa"/>
            <w:tcBorders>
              <w:top w:val="dotted" w:sz="4" w:space="0" w:color="FFFFFF" w:themeColor="background1"/>
              <w:left w:val="dotted" w:sz="4" w:space="0" w:color="FFFFFF" w:themeColor="background1"/>
              <w:bottom w:val="dotted" w:sz="4" w:space="0" w:color="FFFFFF"/>
              <w:right w:val="dotted" w:sz="4" w:space="0" w:color="FFFFFF" w:themeColor="background1"/>
            </w:tcBorders>
            <w:shd w:val="clear" w:color="auto" w:fill="969696" w:themeFill="accent3"/>
          </w:tcPr>
          <w:p w14:paraId="52B277F2" w14:textId="77777777" w:rsidR="003168F8" w:rsidRPr="00662CBC" w:rsidRDefault="003168F8" w:rsidP="006064D6"/>
        </w:tc>
        <w:tc>
          <w:tcPr>
            <w:tcW w:w="1153"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00B0F0"/>
          </w:tcPr>
          <w:p w14:paraId="23B054DC" w14:textId="68635C6A" w:rsidR="003168F8" w:rsidRPr="00662CBC" w:rsidRDefault="0019346A" w:rsidP="006064D6">
            <w:pPr>
              <w:jc w:val="center"/>
            </w:pPr>
            <w:r w:rsidRPr="00662CBC">
              <w:rPr>
                <w:b/>
                <w:bCs/>
                <w:color w:val="FFFFFF" w:themeColor="background1"/>
              </w:rPr>
              <w:t>L</w:t>
            </w:r>
          </w:p>
        </w:tc>
        <w:tc>
          <w:tcPr>
            <w:tcW w:w="927"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969696" w:themeFill="accent3"/>
          </w:tcPr>
          <w:p w14:paraId="3EB43C83" w14:textId="77777777" w:rsidR="003168F8" w:rsidRPr="00662CBC" w:rsidRDefault="003168F8" w:rsidP="006064D6">
            <w:pPr>
              <w:jc w:val="center"/>
            </w:pPr>
          </w:p>
        </w:tc>
        <w:tc>
          <w:tcPr>
            <w:tcW w:w="1270"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098C44"/>
          </w:tcPr>
          <w:p w14:paraId="23823719" w14:textId="77777777" w:rsidR="003168F8" w:rsidRPr="00662CBC" w:rsidRDefault="003168F8" w:rsidP="006064D6">
            <w:pPr>
              <w:jc w:val="center"/>
            </w:pPr>
          </w:p>
        </w:tc>
        <w:tc>
          <w:tcPr>
            <w:tcW w:w="1795" w:type="dxa"/>
            <w:tcBorders>
              <w:top w:val="dotted" w:sz="4" w:space="0" w:color="FFFFFF" w:themeColor="background1"/>
              <w:left w:val="dotted" w:sz="4" w:space="0" w:color="FFFFFF" w:themeColor="background1"/>
              <w:bottom w:val="dotted" w:sz="4" w:space="0" w:color="FFFFFF" w:themeColor="background1"/>
              <w:right w:val="dotted" w:sz="4" w:space="0" w:color="FFFFFF"/>
            </w:tcBorders>
            <w:shd w:val="clear" w:color="auto" w:fill="969696" w:themeFill="accent3"/>
          </w:tcPr>
          <w:p w14:paraId="558874D3" w14:textId="77777777" w:rsidR="003168F8" w:rsidRPr="00662CBC" w:rsidRDefault="003168F8" w:rsidP="006064D6">
            <w:pPr>
              <w:jc w:val="center"/>
            </w:pPr>
          </w:p>
        </w:tc>
        <w:tc>
          <w:tcPr>
            <w:tcW w:w="1495" w:type="dxa"/>
            <w:tcBorders>
              <w:top w:val="dotted" w:sz="4" w:space="0" w:color="FFFFFF" w:themeColor="background1"/>
              <w:left w:val="dotted" w:sz="4" w:space="0" w:color="FFFFFF"/>
              <w:bottom w:val="dotted" w:sz="4" w:space="0" w:color="FFFFFF" w:themeColor="background1"/>
              <w:right w:val="dotted" w:sz="4" w:space="0" w:color="FFFFFF" w:themeColor="background1"/>
            </w:tcBorders>
            <w:shd w:val="clear" w:color="auto" w:fill="098C44"/>
          </w:tcPr>
          <w:p w14:paraId="6EF6AC13" w14:textId="77777777" w:rsidR="003168F8" w:rsidRPr="00662CBC" w:rsidRDefault="003168F8" w:rsidP="006064D6">
            <w:pPr>
              <w:jc w:val="center"/>
              <w:rPr>
                <w:b/>
                <w:bCs/>
                <w:color w:val="FFFFFF" w:themeColor="background1"/>
              </w:rPr>
            </w:pPr>
            <w:r w:rsidRPr="00662CBC">
              <w:rPr>
                <w:b/>
                <w:bCs/>
                <w:color w:val="FFFFFF" w:themeColor="background1"/>
              </w:rPr>
              <w:t>L</w:t>
            </w:r>
          </w:p>
        </w:tc>
      </w:tr>
      <w:tr w:rsidR="003168F8" w:rsidRPr="00662CBC" w14:paraId="52CCE4F4" w14:textId="77777777" w:rsidTr="002546E1">
        <w:tc>
          <w:tcPr>
            <w:tcW w:w="426"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14:paraId="58367B36"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14:paraId="3D21A3FA" w14:textId="77777777" w:rsidR="003168F8" w:rsidRPr="00662CBC" w:rsidRDefault="003168F8" w:rsidP="006064D6">
            <w:r w:rsidRPr="00662CBC">
              <w:t>Andorra</w:t>
            </w:r>
          </w:p>
        </w:tc>
        <w:tc>
          <w:tcPr>
            <w:tcW w:w="1111" w:type="dxa"/>
            <w:tcBorders>
              <w:top w:val="dotted" w:sz="4" w:space="0" w:color="FFFFFF" w:themeColor="background1"/>
              <w:left w:val="dotted" w:sz="4" w:space="0" w:color="FFFFFF"/>
              <w:bottom w:val="dotted" w:sz="4" w:space="0" w:color="FFFFFF" w:themeColor="background1"/>
              <w:right w:val="dotted" w:sz="4" w:space="0" w:color="FFFFFF"/>
            </w:tcBorders>
            <w:shd w:val="clear" w:color="auto" w:fill="C00000"/>
          </w:tcPr>
          <w:p w14:paraId="4E9C9419" w14:textId="77777777" w:rsidR="003168F8" w:rsidRPr="00662CBC" w:rsidRDefault="003168F8" w:rsidP="006064D6">
            <w:pPr>
              <w:jc w:val="center"/>
              <w:rPr>
                <w:color w:val="FFFFFF" w:themeColor="background1"/>
              </w:rPr>
            </w:pPr>
          </w:p>
        </w:tc>
        <w:tc>
          <w:tcPr>
            <w:tcW w:w="1561" w:type="dxa"/>
            <w:tcBorders>
              <w:top w:val="dotted" w:sz="4" w:space="0" w:color="FFFFFF" w:themeColor="background1"/>
              <w:left w:val="dotted" w:sz="4" w:space="0" w:color="FFFFFF"/>
              <w:bottom w:val="dotted" w:sz="4" w:space="0" w:color="FFFFFF" w:themeColor="background1"/>
              <w:right w:val="dotted" w:sz="4" w:space="0" w:color="FFFFFF"/>
            </w:tcBorders>
            <w:shd w:val="clear" w:color="auto" w:fill="C00000"/>
          </w:tcPr>
          <w:p w14:paraId="67EA5A99" w14:textId="77777777" w:rsidR="003168F8" w:rsidRPr="00662CBC" w:rsidRDefault="003168F8" w:rsidP="006064D6">
            <w:pPr>
              <w:jc w:val="center"/>
              <w:rPr>
                <w:color w:val="FFFFFF" w:themeColor="background1"/>
              </w:rPr>
            </w:pPr>
          </w:p>
        </w:tc>
        <w:tc>
          <w:tcPr>
            <w:tcW w:w="1269" w:type="dxa"/>
            <w:tcBorders>
              <w:top w:val="dotted" w:sz="4" w:space="0" w:color="FFFFFF" w:themeColor="background1"/>
              <w:left w:val="dotted" w:sz="4" w:space="0" w:color="FFFFFF" w:themeColor="background1"/>
              <w:bottom w:val="dotted" w:sz="4" w:space="0" w:color="FFFFFF" w:themeColor="background1"/>
              <w:right w:val="dotted" w:sz="4" w:space="0" w:color="FFFFFF"/>
            </w:tcBorders>
            <w:shd w:val="clear" w:color="auto" w:fill="F2FB93"/>
          </w:tcPr>
          <w:p w14:paraId="24A27F6B" w14:textId="77777777" w:rsidR="003168F8" w:rsidRPr="00662CBC" w:rsidRDefault="003168F8" w:rsidP="006064D6"/>
        </w:tc>
        <w:tc>
          <w:tcPr>
            <w:tcW w:w="0" w:type="auto"/>
            <w:tcBorders>
              <w:top w:val="dotted" w:sz="4" w:space="0" w:color="FFFFFF" w:themeColor="background1"/>
              <w:left w:val="dotted" w:sz="4" w:space="0" w:color="FFFFFF"/>
              <w:bottom w:val="dotted" w:sz="4" w:space="0" w:color="FFFFFF" w:themeColor="background1"/>
              <w:right w:val="dotted" w:sz="4" w:space="0" w:color="FFFFFF"/>
            </w:tcBorders>
            <w:shd w:val="clear" w:color="auto" w:fill="C00000"/>
          </w:tcPr>
          <w:p w14:paraId="08FEEB90" w14:textId="77777777" w:rsidR="003168F8" w:rsidRPr="00662CBC" w:rsidRDefault="003168F8" w:rsidP="006064D6"/>
        </w:tc>
        <w:tc>
          <w:tcPr>
            <w:tcW w:w="1275" w:type="dxa"/>
            <w:tcBorders>
              <w:top w:val="dotted" w:sz="4" w:space="0" w:color="FFFFFF"/>
              <w:left w:val="dotted" w:sz="4" w:space="0" w:color="FFFFFF"/>
              <w:bottom w:val="dotted" w:sz="4" w:space="0" w:color="FFFFFF"/>
              <w:right w:val="dotted" w:sz="4" w:space="0" w:color="FFFFFF"/>
            </w:tcBorders>
            <w:shd w:val="clear" w:color="auto" w:fill="969696" w:themeFill="accent3"/>
          </w:tcPr>
          <w:p w14:paraId="369FB5ED" w14:textId="77777777" w:rsidR="003168F8" w:rsidRPr="00662CBC" w:rsidRDefault="003168F8" w:rsidP="006064D6"/>
        </w:tc>
        <w:tc>
          <w:tcPr>
            <w:tcW w:w="1153" w:type="dxa"/>
            <w:tcBorders>
              <w:top w:val="dotted" w:sz="4" w:space="0" w:color="FFFFFF" w:themeColor="background1"/>
              <w:left w:val="dotted" w:sz="4" w:space="0" w:color="FFFFFF"/>
              <w:bottom w:val="dotted" w:sz="4" w:space="0" w:color="FFFFFF" w:themeColor="background1"/>
              <w:right w:val="dotted" w:sz="4" w:space="0" w:color="FFFFFF"/>
            </w:tcBorders>
            <w:shd w:val="clear" w:color="auto" w:fill="969696" w:themeFill="accent3"/>
          </w:tcPr>
          <w:p w14:paraId="28130AEF" w14:textId="77777777" w:rsidR="003168F8" w:rsidRPr="00662CBC" w:rsidRDefault="003168F8" w:rsidP="006064D6">
            <w:pPr>
              <w:jc w:val="center"/>
            </w:pPr>
          </w:p>
        </w:tc>
        <w:tc>
          <w:tcPr>
            <w:tcW w:w="927" w:type="dxa"/>
            <w:tcBorders>
              <w:top w:val="dotted" w:sz="4" w:space="0" w:color="FFFFFF" w:themeColor="background1"/>
              <w:left w:val="dotted" w:sz="4" w:space="0" w:color="FFFFFF"/>
              <w:bottom w:val="dotted" w:sz="4" w:space="0" w:color="FFFFFF" w:themeColor="background1"/>
              <w:right w:val="dotted" w:sz="4" w:space="0" w:color="FFFFFF"/>
            </w:tcBorders>
            <w:shd w:val="clear" w:color="auto" w:fill="C00000"/>
          </w:tcPr>
          <w:p w14:paraId="7D973163" w14:textId="497FB1A4" w:rsidR="003168F8" w:rsidRPr="00662CBC" w:rsidRDefault="002546E1" w:rsidP="006064D6">
            <w:pPr>
              <w:jc w:val="center"/>
            </w:pPr>
            <w:r>
              <w:t>No armed forces</w:t>
            </w:r>
          </w:p>
        </w:tc>
        <w:tc>
          <w:tcPr>
            <w:tcW w:w="1270" w:type="dxa"/>
            <w:tcBorders>
              <w:top w:val="dotted" w:sz="4" w:space="0" w:color="FFFFFF" w:themeColor="background1"/>
              <w:left w:val="dotted" w:sz="4" w:space="0" w:color="FFFFFF"/>
              <w:bottom w:val="dotted" w:sz="4" w:space="0" w:color="FFFFFF" w:themeColor="background1"/>
              <w:right w:val="dotted" w:sz="4" w:space="0" w:color="FFFFFF"/>
            </w:tcBorders>
            <w:shd w:val="clear" w:color="auto" w:fill="C00000"/>
          </w:tcPr>
          <w:p w14:paraId="2C4E9681" w14:textId="0E1AA055" w:rsidR="003168F8" w:rsidRPr="00662CBC" w:rsidRDefault="002546E1" w:rsidP="006064D6">
            <w:pPr>
              <w:jc w:val="center"/>
            </w:pPr>
            <w:r>
              <w:t>No armed forces</w:t>
            </w:r>
          </w:p>
        </w:tc>
        <w:tc>
          <w:tcPr>
            <w:tcW w:w="1795" w:type="dxa"/>
            <w:tcBorders>
              <w:top w:val="dotted" w:sz="4" w:space="0" w:color="FFFFFF" w:themeColor="background1"/>
              <w:left w:val="dotted" w:sz="4" w:space="0" w:color="FFFFFF"/>
              <w:bottom w:val="dotted" w:sz="4" w:space="0" w:color="FFFFFF" w:themeColor="background1"/>
              <w:right w:val="dotted" w:sz="4" w:space="0" w:color="FFFFFF"/>
            </w:tcBorders>
            <w:shd w:val="clear" w:color="auto" w:fill="969696" w:themeFill="accent3"/>
          </w:tcPr>
          <w:p w14:paraId="5DF0B04C" w14:textId="77777777" w:rsidR="003168F8" w:rsidRPr="00662CBC" w:rsidRDefault="003168F8" w:rsidP="006064D6">
            <w:pPr>
              <w:jc w:val="center"/>
            </w:pPr>
          </w:p>
        </w:tc>
        <w:tc>
          <w:tcPr>
            <w:tcW w:w="1495" w:type="dxa"/>
            <w:tcBorders>
              <w:top w:val="dotted" w:sz="4" w:space="0" w:color="FFFFFF" w:themeColor="background1"/>
              <w:left w:val="dotted" w:sz="4" w:space="0" w:color="FFFFFF"/>
              <w:bottom w:val="dotted" w:sz="4" w:space="0" w:color="FFFFFF" w:themeColor="background1"/>
              <w:right w:val="dotted" w:sz="4" w:space="0" w:color="FFFFFF" w:themeColor="background1"/>
            </w:tcBorders>
            <w:shd w:val="clear" w:color="auto" w:fill="92D050"/>
          </w:tcPr>
          <w:p w14:paraId="75A840DA" w14:textId="77777777" w:rsidR="003168F8" w:rsidRPr="00662CBC" w:rsidRDefault="003168F8" w:rsidP="006064D6">
            <w:pPr>
              <w:jc w:val="center"/>
            </w:pPr>
          </w:p>
        </w:tc>
      </w:tr>
      <w:tr w:rsidR="003168F8" w:rsidRPr="00662CBC" w14:paraId="66541BC6" w14:textId="77777777" w:rsidTr="00C84FF2">
        <w:tc>
          <w:tcPr>
            <w:tcW w:w="426" w:type="dxa"/>
            <w:tcBorders>
              <w:top w:val="dotted" w:sz="4" w:space="0" w:color="FFFFFF" w:themeColor="background1"/>
              <w:left w:val="dotted" w:sz="4" w:space="0" w:color="FFFFFF"/>
              <w:bottom w:val="threeDEmboss" w:sz="24" w:space="0" w:color="002060"/>
              <w:right w:val="dotted" w:sz="4" w:space="0" w:color="FFFFFF"/>
            </w:tcBorders>
          </w:tcPr>
          <w:p w14:paraId="197844ED"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dotted" w:sz="4" w:space="0" w:color="FFFFFF" w:themeColor="background1"/>
              <w:left w:val="dotted" w:sz="4" w:space="0" w:color="FFFFFF"/>
              <w:bottom w:val="threeDEmboss" w:sz="24" w:space="0" w:color="002060"/>
              <w:right w:val="dotted" w:sz="4" w:space="0" w:color="FFFFFF"/>
            </w:tcBorders>
          </w:tcPr>
          <w:p w14:paraId="35F8FB3C" w14:textId="77777777" w:rsidR="003168F8" w:rsidRPr="00662CBC" w:rsidRDefault="003168F8" w:rsidP="006064D6">
            <w:r w:rsidRPr="00662CBC">
              <w:t xml:space="preserve">Armenia </w:t>
            </w:r>
          </w:p>
        </w:tc>
        <w:tc>
          <w:tcPr>
            <w:tcW w:w="1111" w:type="dxa"/>
            <w:tcBorders>
              <w:top w:val="dotted" w:sz="4" w:space="0" w:color="FFFFFF" w:themeColor="background1"/>
              <w:left w:val="dotted" w:sz="4" w:space="0" w:color="FFFFFF"/>
              <w:bottom w:val="threeDEmboss" w:sz="24" w:space="0" w:color="002060"/>
              <w:right w:val="dotted" w:sz="4" w:space="0" w:color="FFFFFF"/>
            </w:tcBorders>
            <w:shd w:val="clear" w:color="auto" w:fill="098C44"/>
          </w:tcPr>
          <w:p w14:paraId="2BCAFD0C" w14:textId="77777777" w:rsidR="003168F8" w:rsidRPr="00662CBC" w:rsidRDefault="003168F8" w:rsidP="006064D6">
            <w:pPr>
              <w:jc w:val="center"/>
              <w:rPr>
                <w:b/>
                <w:bCs/>
                <w:color w:val="FFFFFF" w:themeColor="background1"/>
              </w:rPr>
            </w:pPr>
            <w:r w:rsidRPr="00662CBC">
              <w:rPr>
                <w:b/>
                <w:bCs/>
                <w:color w:val="FFFFFF" w:themeColor="background1"/>
              </w:rPr>
              <w:t>C+L</w:t>
            </w:r>
          </w:p>
        </w:tc>
        <w:tc>
          <w:tcPr>
            <w:tcW w:w="1561" w:type="dxa"/>
            <w:tcBorders>
              <w:top w:val="dotted" w:sz="4" w:space="0" w:color="FFFFFF" w:themeColor="background1"/>
              <w:left w:val="dotted" w:sz="4" w:space="0" w:color="FFFFFF"/>
              <w:bottom w:val="threeDEmboss" w:sz="24" w:space="0" w:color="002060"/>
              <w:right w:val="dotted" w:sz="4" w:space="0" w:color="FFFFFF"/>
            </w:tcBorders>
            <w:shd w:val="clear" w:color="auto" w:fill="098C44"/>
          </w:tcPr>
          <w:p w14:paraId="255A7D71" w14:textId="77777777" w:rsidR="003168F8" w:rsidRPr="00662CBC" w:rsidRDefault="003168F8" w:rsidP="006064D6">
            <w:pPr>
              <w:jc w:val="center"/>
              <w:rPr>
                <w:b/>
                <w:bCs/>
                <w:color w:val="FFFFFF" w:themeColor="background1"/>
              </w:rPr>
            </w:pPr>
            <w:r w:rsidRPr="00662CBC">
              <w:rPr>
                <w:b/>
                <w:bCs/>
                <w:color w:val="FFFFFF" w:themeColor="background1"/>
              </w:rPr>
              <w:t>L</w:t>
            </w:r>
          </w:p>
        </w:tc>
        <w:tc>
          <w:tcPr>
            <w:tcW w:w="1269" w:type="dxa"/>
            <w:tcBorders>
              <w:top w:val="dotted" w:sz="4" w:space="0" w:color="FFFFFF" w:themeColor="background1"/>
              <w:left w:val="dotted" w:sz="4" w:space="0" w:color="FFFFFF"/>
              <w:bottom w:val="threeDEmboss" w:sz="24" w:space="0" w:color="002060"/>
              <w:right w:val="dotted" w:sz="4" w:space="0" w:color="FFFFFF"/>
            </w:tcBorders>
            <w:shd w:val="clear" w:color="auto" w:fill="FB786F"/>
          </w:tcPr>
          <w:p w14:paraId="1B8B27DA" w14:textId="77777777" w:rsidR="003168F8" w:rsidRPr="00662CBC" w:rsidRDefault="003168F8" w:rsidP="006064D6"/>
        </w:tc>
        <w:tc>
          <w:tcPr>
            <w:tcW w:w="0" w:type="auto"/>
            <w:tcBorders>
              <w:top w:val="dotted" w:sz="4" w:space="0" w:color="FFFFFF" w:themeColor="background1"/>
              <w:left w:val="dotted" w:sz="4" w:space="0" w:color="FFFFFF"/>
              <w:bottom w:val="threeDEmboss" w:sz="24" w:space="0" w:color="002060"/>
              <w:right w:val="dotted" w:sz="4" w:space="0" w:color="FFFFFF"/>
            </w:tcBorders>
            <w:shd w:val="clear" w:color="auto" w:fill="C00000"/>
          </w:tcPr>
          <w:p w14:paraId="44849AD4" w14:textId="77777777" w:rsidR="003168F8" w:rsidRPr="00662CBC" w:rsidRDefault="003168F8" w:rsidP="006064D6"/>
        </w:tc>
        <w:tc>
          <w:tcPr>
            <w:tcW w:w="1275" w:type="dxa"/>
            <w:tcBorders>
              <w:top w:val="dotted" w:sz="4" w:space="0" w:color="FFFFFF"/>
              <w:left w:val="dotted" w:sz="4" w:space="0" w:color="FFFFFF"/>
              <w:bottom w:val="threeDEmboss" w:sz="24" w:space="0" w:color="002060"/>
              <w:right w:val="dotted" w:sz="4" w:space="0" w:color="FFFFFF"/>
            </w:tcBorders>
            <w:shd w:val="clear" w:color="auto" w:fill="C00000"/>
          </w:tcPr>
          <w:p w14:paraId="2E349F8B" w14:textId="77777777" w:rsidR="003168F8" w:rsidRPr="00662CBC" w:rsidRDefault="003168F8" w:rsidP="006064D6"/>
        </w:tc>
        <w:tc>
          <w:tcPr>
            <w:tcW w:w="1153" w:type="dxa"/>
            <w:tcBorders>
              <w:top w:val="dotted" w:sz="4" w:space="0" w:color="FFFFFF" w:themeColor="background1"/>
              <w:left w:val="dotted" w:sz="4" w:space="0" w:color="FFFFFF"/>
              <w:bottom w:val="threeDEmboss" w:sz="24" w:space="0" w:color="002060"/>
              <w:right w:val="dotted" w:sz="4" w:space="0" w:color="FFFFFF"/>
            </w:tcBorders>
            <w:shd w:val="clear" w:color="auto" w:fill="C00000"/>
          </w:tcPr>
          <w:p w14:paraId="33D959E2" w14:textId="77777777" w:rsidR="003168F8" w:rsidRPr="00662CBC" w:rsidRDefault="003168F8" w:rsidP="006064D6">
            <w:pPr>
              <w:jc w:val="center"/>
              <w:rPr>
                <w:b/>
                <w:bCs/>
                <w:color w:val="FFFFFF" w:themeColor="background1"/>
              </w:rPr>
            </w:pPr>
          </w:p>
        </w:tc>
        <w:tc>
          <w:tcPr>
            <w:tcW w:w="927" w:type="dxa"/>
            <w:tcBorders>
              <w:top w:val="dotted" w:sz="4" w:space="0" w:color="FFFFFF" w:themeColor="background1"/>
              <w:left w:val="dotted" w:sz="4" w:space="0" w:color="FFFFFF"/>
              <w:bottom w:val="threeDEmboss" w:sz="24" w:space="0" w:color="002060"/>
              <w:right w:val="dotted" w:sz="4" w:space="0" w:color="FFFFFF"/>
            </w:tcBorders>
            <w:shd w:val="clear" w:color="auto" w:fill="C00000"/>
          </w:tcPr>
          <w:p w14:paraId="345A0A65" w14:textId="77777777" w:rsidR="003168F8" w:rsidRPr="00662CBC" w:rsidRDefault="003168F8" w:rsidP="006064D6">
            <w:pPr>
              <w:jc w:val="center"/>
              <w:rPr>
                <w:b/>
                <w:bCs/>
                <w:color w:val="FFFFFF" w:themeColor="background1"/>
              </w:rPr>
            </w:pPr>
          </w:p>
        </w:tc>
        <w:tc>
          <w:tcPr>
            <w:tcW w:w="1270" w:type="dxa"/>
            <w:tcBorders>
              <w:top w:val="dotted" w:sz="4" w:space="0" w:color="FFFFFF" w:themeColor="background1"/>
              <w:left w:val="dotted" w:sz="4" w:space="0" w:color="FFFFFF"/>
              <w:bottom w:val="threeDEmboss" w:sz="24" w:space="0" w:color="002060"/>
              <w:right w:val="dotted" w:sz="4" w:space="0" w:color="FFFFFF"/>
            </w:tcBorders>
            <w:shd w:val="clear" w:color="auto" w:fill="098C44"/>
          </w:tcPr>
          <w:p w14:paraId="7D4D8F9E" w14:textId="77777777" w:rsidR="003168F8" w:rsidRPr="00662CBC" w:rsidRDefault="003168F8" w:rsidP="006064D6">
            <w:pPr>
              <w:jc w:val="center"/>
              <w:rPr>
                <w:b/>
                <w:bCs/>
                <w:color w:val="FFFFFF" w:themeColor="background1"/>
              </w:rPr>
            </w:pPr>
          </w:p>
        </w:tc>
        <w:tc>
          <w:tcPr>
            <w:tcW w:w="1795" w:type="dxa"/>
            <w:tcBorders>
              <w:top w:val="dotted" w:sz="4" w:space="0" w:color="FFFFFF" w:themeColor="background1"/>
              <w:left w:val="dotted" w:sz="4" w:space="0" w:color="FFFFFF"/>
              <w:bottom w:val="threeDEmboss" w:sz="24" w:space="0" w:color="002060"/>
              <w:right w:val="dotted" w:sz="4" w:space="0" w:color="FFFFFF"/>
            </w:tcBorders>
            <w:shd w:val="clear" w:color="auto" w:fill="098C44"/>
          </w:tcPr>
          <w:p w14:paraId="238B92D1" w14:textId="77777777" w:rsidR="003168F8" w:rsidRPr="00662CBC" w:rsidRDefault="003168F8" w:rsidP="006064D6">
            <w:pPr>
              <w:jc w:val="center"/>
              <w:rPr>
                <w:b/>
                <w:bCs/>
                <w:color w:val="FFFFFF" w:themeColor="background1"/>
              </w:rPr>
            </w:pPr>
            <w:r w:rsidRPr="00662CBC">
              <w:rPr>
                <w:b/>
                <w:bCs/>
                <w:color w:val="FFFFFF" w:themeColor="background1"/>
              </w:rPr>
              <w:t>L - Judiciary</w:t>
            </w:r>
          </w:p>
        </w:tc>
        <w:tc>
          <w:tcPr>
            <w:tcW w:w="1495" w:type="dxa"/>
            <w:tcBorders>
              <w:top w:val="dotted" w:sz="4" w:space="0" w:color="FFFFFF" w:themeColor="background1"/>
              <w:left w:val="dotted" w:sz="4" w:space="0" w:color="FFFFFF"/>
              <w:bottom w:val="threeDEmboss" w:sz="24" w:space="0" w:color="002060"/>
            </w:tcBorders>
            <w:shd w:val="thinReverseDiagStripe" w:color="00B050" w:fill="auto"/>
          </w:tcPr>
          <w:p w14:paraId="3C8C1D7D" w14:textId="77777777" w:rsidR="003168F8" w:rsidRPr="00662CBC" w:rsidRDefault="003168F8" w:rsidP="006064D6">
            <w:pPr>
              <w:jc w:val="center"/>
              <w:rPr>
                <w:b/>
                <w:bCs/>
              </w:rPr>
            </w:pPr>
            <w:r w:rsidRPr="00662CBC">
              <w:rPr>
                <w:b/>
                <w:bCs/>
              </w:rPr>
              <w:t>Suspended!</w:t>
            </w:r>
          </w:p>
        </w:tc>
      </w:tr>
      <w:tr w:rsidR="003168F8" w:rsidRPr="00662CBC" w14:paraId="773B0439" w14:textId="77777777" w:rsidTr="00F23628">
        <w:tc>
          <w:tcPr>
            <w:tcW w:w="426" w:type="dxa"/>
            <w:tcBorders>
              <w:top w:val="threeDEmboss" w:sz="24" w:space="0" w:color="002060"/>
              <w:left w:val="threeDEmboss" w:sz="24" w:space="0" w:color="002060"/>
              <w:right w:val="dotted" w:sz="4" w:space="0" w:color="FFFFFF"/>
            </w:tcBorders>
          </w:tcPr>
          <w:p w14:paraId="43BA7331"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threeDEmboss" w:sz="24" w:space="0" w:color="002060"/>
              <w:left w:val="dotted" w:sz="4" w:space="0" w:color="FFFFFF"/>
              <w:right w:val="dotted" w:sz="4" w:space="0" w:color="FFFFFF"/>
            </w:tcBorders>
          </w:tcPr>
          <w:p w14:paraId="62E1E6BB" w14:textId="1FF0E5CA" w:rsidR="003168F8" w:rsidRPr="00662CBC" w:rsidRDefault="003168F8" w:rsidP="006064D6">
            <w:r w:rsidRPr="00662CBC">
              <w:t xml:space="preserve">Austria </w:t>
            </w:r>
          </w:p>
        </w:tc>
        <w:tc>
          <w:tcPr>
            <w:tcW w:w="1111" w:type="dxa"/>
            <w:tcBorders>
              <w:top w:val="threeDEmboss" w:sz="24" w:space="0" w:color="002060"/>
              <w:left w:val="dotted" w:sz="4" w:space="0" w:color="FFFFFF"/>
              <w:right w:val="dotted" w:sz="4" w:space="0" w:color="FFFFFF"/>
            </w:tcBorders>
            <w:shd w:val="clear" w:color="auto" w:fill="C00000"/>
          </w:tcPr>
          <w:p w14:paraId="0F5D7C2A" w14:textId="77777777" w:rsidR="003168F8" w:rsidRPr="00662CBC" w:rsidRDefault="003168F8" w:rsidP="006064D6">
            <w:pPr>
              <w:jc w:val="center"/>
              <w:rPr>
                <w:color w:val="FFFFFF" w:themeColor="background1"/>
              </w:rPr>
            </w:pPr>
          </w:p>
        </w:tc>
        <w:tc>
          <w:tcPr>
            <w:tcW w:w="1561" w:type="dxa"/>
            <w:tcBorders>
              <w:top w:val="threeDEmboss" w:sz="24" w:space="0" w:color="002060"/>
              <w:left w:val="dotted" w:sz="4" w:space="0" w:color="FFFFFF"/>
              <w:right w:val="dotted" w:sz="4" w:space="0" w:color="FFFFFF"/>
            </w:tcBorders>
            <w:shd w:val="clear" w:color="auto" w:fill="C00000"/>
          </w:tcPr>
          <w:p w14:paraId="1070FDC6" w14:textId="77777777" w:rsidR="003168F8" w:rsidRPr="00662CBC" w:rsidRDefault="003168F8" w:rsidP="006064D6">
            <w:pPr>
              <w:jc w:val="center"/>
              <w:rPr>
                <w:color w:val="FFFFFF" w:themeColor="background1"/>
              </w:rPr>
            </w:pPr>
          </w:p>
        </w:tc>
        <w:tc>
          <w:tcPr>
            <w:tcW w:w="1269" w:type="dxa"/>
            <w:tcBorders>
              <w:top w:val="threeDEmboss" w:sz="24" w:space="0" w:color="002060"/>
              <w:left w:val="dotted" w:sz="4" w:space="0" w:color="FFFFFF"/>
              <w:right w:val="dotted" w:sz="4" w:space="0" w:color="FFFFFF"/>
            </w:tcBorders>
            <w:shd w:val="clear" w:color="auto" w:fill="F2FB93"/>
          </w:tcPr>
          <w:p w14:paraId="59C45657" w14:textId="77777777" w:rsidR="003168F8" w:rsidRPr="00662CBC" w:rsidRDefault="003168F8" w:rsidP="006064D6"/>
        </w:tc>
        <w:tc>
          <w:tcPr>
            <w:tcW w:w="0" w:type="auto"/>
            <w:tcBorders>
              <w:top w:val="threeDEmboss" w:sz="24" w:space="0" w:color="002060"/>
              <w:left w:val="dotted" w:sz="4" w:space="0" w:color="FFFFFF"/>
              <w:right w:val="dotted" w:sz="4" w:space="0" w:color="FFFFFF"/>
            </w:tcBorders>
            <w:shd w:val="clear" w:color="auto" w:fill="098C44"/>
          </w:tcPr>
          <w:p w14:paraId="5C313766" w14:textId="77777777" w:rsidR="003168F8" w:rsidRPr="00662CBC" w:rsidRDefault="003168F8" w:rsidP="006064D6">
            <w:pPr>
              <w:jc w:val="center"/>
            </w:pPr>
            <w:r w:rsidRPr="00662CBC">
              <w:rPr>
                <w:b/>
                <w:bCs/>
                <w:color w:val="FFFFFF" w:themeColor="background1"/>
              </w:rPr>
              <w:t>L</w:t>
            </w:r>
          </w:p>
        </w:tc>
        <w:tc>
          <w:tcPr>
            <w:tcW w:w="1275" w:type="dxa"/>
            <w:tcBorders>
              <w:top w:val="threeDEmboss" w:sz="24" w:space="0" w:color="002060"/>
              <w:left w:val="dotted" w:sz="4" w:space="0" w:color="FFFFFF"/>
              <w:right w:val="dotted" w:sz="4" w:space="0" w:color="FFFFFF"/>
            </w:tcBorders>
            <w:shd w:val="diagCross" w:color="098C44" w:fill="auto"/>
          </w:tcPr>
          <w:p w14:paraId="67271E31" w14:textId="77777777" w:rsidR="003168F8" w:rsidRPr="00662CBC" w:rsidRDefault="003168F8" w:rsidP="006064D6">
            <w:pPr>
              <w:jc w:val="center"/>
              <w:rPr>
                <w:b/>
                <w:bCs/>
                <w:color w:val="098C44"/>
              </w:rPr>
            </w:pPr>
            <w:r w:rsidRPr="00662CBC">
              <w:rPr>
                <w:b/>
                <w:bCs/>
                <w:color w:val="FFFFFF" w:themeColor="background1"/>
              </w:rPr>
              <w:t>Limited</w:t>
            </w:r>
            <w:r w:rsidRPr="005D2F5A">
              <w:rPr>
                <w:rStyle w:val="FootnoteReference"/>
              </w:rPr>
              <w:footnoteReference w:id="6"/>
            </w:r>
          </w:p>
        </w:tc>
        <w:tc>
          <w:tcPr>
            <w:tcW w:w="1153" w:type="dxa"/>
            <w:tcBorders>
              <w:top w:val="threeDEmboss" w:sz="24" w:space="0" w:color="002060"/>
              <w:left w:val="dotted" w:sz="4" w:space="0" w:color="FFFFFF"/>
              <w:right w:val="dotted" w:sz="4" w:space="0" w:color="FFFFFF"/>
            </w:tcBorders>
            <w:shd w:val="clear" w:color="auto" w:fill="00B0F0"/>
          </w:tcPr>
          <w:p w14:paraId="62BE2B58" w14:textId="1269CD16" w:rsidR="003168F8" w:rsidRPr="004A1C31" w:rsidRDefault="004A1C31" w:rsidP="004A1C31">
            <w:pPr>
              <w:jc w:val="center"/>
              <w:rPr>
                <w:b/>
                <w:bCs/>
                <w:color w:val="FFFFFF" w:themeColor="background1"/>
              </w:rPr>
            </w:pPr>
            <w:r w:rsidRPr="004A1C31">
              <w:rPr>
                <w:b/>
                <w:bCs/>
                <w:color w:val="FFFFFF" w:themeColor="background1"/>
              </w:rPr>
              <w:t>L</w:t>
            </w:r>
          </w:p>
        </w:tc>
        <w:tc>
          <w:tcPr>
            <w:tcW w:w="927" w:type="dxa"/>
            <w:tcBorders>
              <w:top w:val="threeDEmboss" w:sz="24" w:space="0" w:color="002060"/>
              <w:left w:val="dotted" w:sz="4" w:space="0" w:color="FFFFFF"/>
              <w:right w:val="dotted" w:sz="4" w:space="0" w:color="FFFFFF"/>
            </w:tcBorders>
            <w:shd w:val="clear" w:color="auto" w:fill="00B0F0"/>
          </w:tcPr>
          <w:p w14:paraId="3491BE3D" w14:textId="55183792" w:rsidR="003168F8" w:rsidRPr="004A1C31" w:rsidRDefault="004A1C31" w:rsidP="006064D6">
            <w:pPr>
              <w:jc w:val="center"/>
              <w:rPr>
                <w:b/>
                <w:bCs/>
                <w:color w:val="FFFFFF" w:themeColor="background1"/>
              </w:rPr>
            </w:pPr>
            <w:r>
              <w:rPr>
                <w:b/>
                <w:bCs/>
                <w:color w:val="FFFFFF" w:themeColor="background1"/>
              </w:rPr>
              <w:t>L</w:t>
            </w:r>
          </w:p>
        </w:tc>
        <w:tc>
          <w:tcPr>
            <w:tcW w:w="1270" w:type="dxa"/>
            <w:tcBorders>
              <w:top w:val="threeDEmboss" w:sz="24" w:space="0" w:color="002060"/>
              <w:left w:val="dotted" w:sz="4" w:space="0" w:color="FFFFFF"/>
              <w:right w:val="dotted" w:sz="4" w:space="0" w:color="FFFFFF"/>
            </w:tcBorders>
            <w:shd w:val="clear" w:color="auto" w:fill="098C44"/>
          </w:tcPr>
          <w:p w14:paraId="563BF9E2" w14:textId="77777777" w:rsidR="003168F8" w:rsidRPr="004A1C31" w:rsidRDefault="003168F8" w:rsidP="006064D6">
            <w:pPr>
              <w:jc w:val="center"/>
              <w:rPr>
                <w:b/>
                <w:bCs/>
                <w:color w:val="FFFFFF" w:themeColor="background1"/>
              </w:rPr>
            </w:pPr>
          </w:p>
        </w:tc>
        <w:tc>
          <w:tcPr>
            <w:tcW w:w="1795" w:type="dxa"/>
            <w:tcBorders>
              <w:top w:val="threeDEmboss" w:sz="24" w:space="0" w:color="002060"/>
              <w:left w:val="dotted" w:sz="4" w:space="0" w:color="FFFFFF"/>
              <w:right w:val="dotted" w:sz="4" w:space="0" w:color="FFFFFF"/>
            </w:tcBorders>
            <w:shd w:val="clear" w:color="auto" w:fill="969696" w:themeFill="accent3"/>
          </w:tcPr>
          <w:p w14:paraId="55EE3721" w14:textId="77777777" w:rsidR="003168F8" w:rsidRPr="00662CBC" w:rsidRDefault="003168F8" w:rsidP="006064D6">
            <w:pPr>
              <w:jc w:val="center"/>
            </w:pPr>
          </w:p>
        </w:tc>
        <w:tc>
          <w:tcPr>
            <w:tcW w:w="1495" w:type="dxa"/>
            <w:tcBorders>
              <w:top w:val="threeDEmboss" w:sz="24" w:space="0" w:color="002060"/>
              <w:left w:val="dotted" w:sz="4" w:space="0" w:color="FFFFFF"/>
              <w:right w:val="threeDEmboss" w:sz="24" w:space="0" w:color="002060"/>
            </w:tcBorders>
            <w:shd w:val="clear" w:color="auto" w:fill="098C44"/>
          </w:tcPr>
          <w:p w14:paraId="2EC5D9A3" w14:textId="77777777" w:rsidR="003168F8" w:rsidRPr="00662CBC" w:rsidRDefault="003168F8" w:rsidP="006064D6">
            <w:pPr>
              <w:jc w:val="center"/>
            </w:pPr>
            <w:r w:rsidRPr="00662CBC">
              <w:rPr>
                <w:b/>
                <w:bCs/>
                <w:color w:val="FFFFFF" w:themeColor="background1"/>
              </w:rPr>
              <w:t>L</w:t>
            </w:r>
          </w:p>
        </w:tc>
      </w:tr>
      <w:tr w:rsidR="003168F8" w:rsidRPr="00662CBC" w14:paraId="2B57EF4C" w14:textId="77777777" w:rsidTr="00E4273B">
        <w:tc>
          <w:tcPr>
            <w:tcW w:w="426" w:type="dxa"/>
            <w:tcBorders>
              <w:top w:val="threeDEmboss" w:sz="24" w:space="0" w:color="002060"/>
              <w:left w:val="dotted" w:sz="4" w:space="0" w:color="FFFFFF"/>
              <w:bottom w:val="dotted" w:sz="4" w:space="0" w:color="FFFFFF"/>
              <w:right w:val="dotted" w:sz="4" w:space="0" w:color="FFFFFF"/>
            </w:tcBorders>
          </w:tcPr>
          <w:p w14:paraId="2E1DFFE3"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threeDEmboss" w:sz="24" w:space="0" w:color="002060"/>
              <w:left w:val="dotted" w:sz="4" w:space="0" w:color="FFFFFF"/>
              <w:bottom w:val="dotted" w:sz="4" w:space="0" w:color="FFFFFF"/>
              <w:right w:val="dotted" w:sz="4" w:space="0" w:color="FFFFFF"/>
            </w:tcBorders>
          </w:tcPr>
          <w:p w14:paraId="4FEE60A2" w14:textId="77777777" w:rsidR="003168F8" w:rsidRPr="00662CBC" w:rsidRDefault="003168F8" w:rsidP="006064D6">
            <w:r w:rsidRPr="00662CBC">
              <w:t>Azerbaijan</w:t>
            </w:r>
          </w:p>
        </w:tc>
        <w:tc>
          <w:tcPr>
            <w:tcW w:w="1111" w:type="dxa"/>
            <w:tcBorders>
              <w:top w:val="threeDEmboss" w:sz="24" w:space="0" w:color="002060"/>
              <w:left w:val="dotted" w:sz="4" w:space="0" w:color="FFFFFF"/>
              <w:bottom w:val="dotted" w:sz="4" w:space="0" w:color="FFFFFF"/>
              <w:right w:val="dotted" w:sz="4" w:space="0" w:color="FFFFFF"/>
            </w:tcBorders>
            <w:shd w:val="clear" w:color="auto" w:fill="C00000"/>
          </w:tcPr>
          <w:p w14:paraId="06FE1766" w14:textId="77777777" w:rsidR="003168F8" w:rsidRPr="00662CBC" w:rsidRDefault="003168F8" w:rsidP="006064D6">
            <w:pPr>
              <w:jc w:val="center"/>
              <w:rPr>
                <w:color w:val="FFFFFF" w:themeColor="background1"/>
              </w:rPr>
            </w:pPr>
          </w:p>
        </w:tc>
        <w:tc>
          <w:tcPr>
            <w:tcW w:w="1561" w:type="dxa"/>
            <w:tcBorders>
              <w:top w:val="threeDEmboss" w:sz="24" w:space="0" w:color="002060"/>
              <w:left w:val="dotted" w:sz="4" w:space="0" w:color="FFFFFF"/>
              <w:bottom w:val="dotted" w:sz="4" w:space="0" w:color="FFFFFF"/>
              <w:right w:val="dotted" w:sz="4" w:space="0" w:color="FFFFFF"/>
            </w:tcBorders>
            <w:shd w:val="clear" w:color="auto" w:fill="C00000"/>
          </w:tcPr>
          <w:p w14:paraId="5CD450C9" w14:textId="77777777" w:rsidR="003168F8" w:rsidRPr="00662CBC" w:rsidRDefault="003168F8" w:rsidP="006064D6">
            <w:pPr>
              <w:jc w:val="center"/>
              <w:rPr>
                <w:color w:val="FFFFFF" w:themeColor="background1"/>
              </w:rPr>
            </w:pPr>
          </w:p>
        </w:tc>
        <w:tc>
          <w:tcPr>
            <w:tcW w:w="1269" w:type="dxa"/>
            <w:tcBorders>
              <w:top w:val="threeDEmboss" w:sz="24" w:space="0" w:color="002060"/>
              <w:left w:val="dotted" w:sz="4" w:space="0" w:color="FFFFFF"/>
              <w:bottom w:val="dotted" w:sz="4" w:space="0" w:color="FFFFFF"/>
              <w:right w:val="dotted" w:sz="4" w:space="0" w:color="FFFFFF"/>
            </w:tcBorders>
            <w:shd w:val="clear" w:color="auto" w:fill="FB786F"/>
          </w:tcPr>
          <w:p w14:paraId="582C19B7" w14:textId="77777777" w:rsidR="003168F8" w:rsidRPr="00662CBC" w:rsidRDefault="003168F8" w:rsidP="006064D6"/>
        </w:tc>
        <w:tc>
          <w:tcPr>
            <w:tcW w:w="0" w:type="auto"/>
            <w:tcBorders>
              <w:top w:val="threeDEmboss" w:sz="24" w:space="0" w:color="002060"/>
              <w:left w:val="dotted" w:sz="4" w:space="0" w:color="FFFFFF"/>
              <w:bottom w:val="dotted" w:sz="4" w:space="0" w:color="FFFFFF"/>
              <w:right w:val="dotted" w:sz="4" w:space="0" w:color="FFFFFF"/>
            </w:tcBorders>
            <w:shd w:val="clear" w:color="auto" w:fill="C00000"/>
          </w:tcPr>
          <w:p w14:paraId="2EE3747F" w14:textId="77777777" w:rsidR="003168F8" w:rsidRPr="00662CBC" w:rsidRDefault="003168F8" w:rsidP="006064D6"/>
        </w:tc>
        <w:tc>
          <w:tcPr>
            <w:tcW w:w="1275" w:type="dxa"/>
            <w:tcBorders>
              <w:top w:val="threeDEmboss" w:sz="24" w:space="0" w:color="002060"/>
              <w:left w:val="dotted" w:sz="4" w:space="0" w:color="FFFFFF"/>
              <w:bottom w:val="dotted" w:sz="4" w:space="0" w:color="FFFFFF"/>
              <w:right w:val="dotted" w:sz="4" w:space="0" w:color="FFFFFF"/>
            </w:tcBorders>
            <w:shd w:val="clear" w:color="auto" w:fill="C00000"/>
          </w:tcPr>
          <w:p w14:paraId="66F8FF01" w14:textId="77777777" w:rsidR="003168F8" w:rsidRPr="00662CBC" w:rsidRDefault="003168F8" w:rsidP="006064D6"/>
        </w:tc>
        <w:tc>
          <w:tcPr>
            <w:tcW w:w="1153" w:type="dxa"/>
            <w:tcBorders>
              <w:top w:val="threeDEmboss" w:sz="24" w:space="0" w:color="002060"/>
              <w:left w:val="dotted" w:sz="4" w:space="0" w:color="FFFFFF"/>
              <w:bottom w:val="dotted" w:sz="4" w:space="0" w:color="FFFFFF"/>
              <w:right w:val="dotted" w:sz="4" w:space="0" w:color="FFFFFF"/>
            </w:tcBorders>
            <w:shd w:val="clear" w:color="auto" w:fill="C00000"/>
          </w:tcPr>
          <w:p w14:paraId="795BC584" w14:textId="77777777" w:rsidR="003168F8" w:rsidRPr="004A1C31" w:rsidRDefault="003168F8" w:rsidP="006064D6">
            <w:pPr>
              <w:jc w:val="center"/>
              <w:rPr>
                <w:b/>
                <w:bCs/>
                <w:color w:val="FFFFFF" w:themeColor="background1"/>
              </w:rPr>
            </w:pPr>
          </w:p>
        </w:tc>
        <w:tc>
          <w:tcPr>
            <w:tcW w:w="927" w:type="dxa"/>
            <w:tcBorders>
              <w:top w:val="threeDEmboss" w:sz="24" w:space="0" w:color="002060"/>
              <w:left w:val="dotted" w:sz="4" w:space="0" w:color="FFFFFF"/>
              <w:bottom w:val="dotted" w:sz="4" w:space="0" w:color="FFFFFF"/>
              <w:right w:val="dotted" w:sz="4" w:space="0" w:color="FFFFFF"/>
            </w:tcBorders>
            <w:shd w:val="clear" w:color="auto" w:fill="C00000"/>
          </w:tcPr>
          <w:p w14:paraId="50B55855" w14:textId="77777777" w:rsidR="003168F8" w:rsidRPr="004A1C31" w:rsidRDefault="003168F8" w:rsidP="006064D6">
            <w:pPr>
              <w:jc w:val="center"/>
              <w:rPr>
                <w:b/>
                <w:bCs/>
                <w:color w:val="FFFFFF" w:themeColor="background1"/>
              </w:rPr>
            </w:pPr>
          </w:p>
        </w:tc>
        <w:tc>
          <w:tcPr>
            <w:tcW w:w="1270" w:type="dxa"/>
            <w:tcBorders>
              <w:top w:val="threeDEmboss" w:sz="24" w:space="0" w:color="002060"/>
              <w:left w:val="dotted" w:sz="4" w:space="0" w:color="FFFFFF"/>
              <w:bottom w:val="dotted" w:sz="4" w:space="0" w:color="FFFFFF"/>
              <w:right w:val="dotted" w:sz="4" w:space="0" w:color="FFFFFF"/>
            </w:tcBorders>
            <w:shd w:val="clear" w:color="auto" w:fill="098C44"/>
          </w:tcPr>
          <w:p w14:paraId="580A86A0" w14:textId="77777777" w:rsidR="003168F8" w:rsidRPr="004A1C31" w:rsidRDefault="003168F8" w:rsidP="006064D6">
            <w:pPr>
              <w:jc w:val="center"/>
              <w:rPr>
                <w:b/>
                <w:bCs/>
                <w:color w:val="FFFFFF" w:themeColor="background1"/>
              </w:rPr>
            </w:pPr>
          </w:p>
        </w:tc>
        <w:tc>
          <w:tcPr>
            <w:tcW w:w="1795" w:type="dxa"/>
            <w:tcBorders>
              <w:top w:val="threeDEmboss" w:sz="24" w:space="0" w:color="002060"/>
              <w:left w:val="dotted" w:sz="4" w:space="0" w:color="FFFFFF"/>
              <w:bottom w:val="dotted" w:sz="4" w:space="0" w:color="FFFFFF"/>
              <w:right w:val="dotted" w:sz="4" w:space="0" w:color="FFFFFF"/>
            </w:tcBorders>
            <w:shd w:val="clear" w:color="auto" w:fill="969696" w:themeFill="accent3"/>
          </w:tcPr>
          <w:p w14:paraId="26DB887C" w14:textId="77777777" w:rsidR="003168F8" w:rsidRPr="00662CBC" w:rsidRDefault="003168F8" w:rsidP="006064D6">
            <w:pPr>
              <w:jc w:val="center"/>
            </w:pPr>
          </w:p>
        </w:tc>
        <w:tc>
          <w:tcPr>
            <w:tcW w:w="1495" w:type="dxa"/>
            <w:tcBorders>
              <w:top w:val="threeDEmboss" w:sz="24" w:space="0" w:color="002060"/>
              <w:left w:val="dotted" w:sz="4" w:space="0" w:color="FFFFFF"/>
              <w:bottom w:val="dotted" w:sz="4" w:space="0" w:color="FFFFFF"/>
            </w:tcBorders>
            <w:shd w:val="clear" w:color="auto" w:fill="969696" w:themeFill="accent3"/>
          </w:tcPr>
          <w:p w14:paraId="4F0FC726" w14:textId="77777777" w:rsidR="003168F8" w:rsidRPr="00662CBC" w:rsidRDefault="003168F8" w:rsidP="006064D6">
            <w:pPr>
              <w:jc w:val="center"/>
            </w:pPr>
          </w:p>
        </w:tc>
      </w:tr>
      <w:tr w:rsidR="003168F8" w:rsidRPr="00662CBC" w14:paraId="6784A150" w14:textId="77777777" w:rsidTr="008C7546">
        <w:tc>
          <w:tcPr>
            <w:tcW w:w="426" w:type="dxa"/>
            <w:tcBorders>
              <w:top w:val="dotted" w:sz="4" w:space="0" w:color="FFFFFF"/>
              <w:left w:val="dotted" w:sz="4" w:space="0" w:color="FFFFFF"/>
              <w:bottom w:val="threeDEmboss" w:sz="24" w:space="0" w:color="002060"/>
              <w:right w:val="dotted" w:sz="4" w:space="0" w:color="FFFFFF"/>
            </w:tcBorders>
          </w:tcPr>
          <w:p w14:paraId="6783FF10"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dotted" w:sz="4" w:space="0" w:color="FFFFFF"/>
              <w:left w:val="dotted" w:sz="4" w:space="0" w:color="FFFFFF"/>
              <w:bottom w:val="threeDEmboss" w:sz="24" w:space="0" w:color="002060"/>
              <w:right w:val="dotted" w:sz="4" w:space="0" w:color="FFFFFF"/>
            </w:tcBorders>
          </w:tcPr>
          <w:p w14:paraId="4DDCFB74" w14:textId="77777777" w:rsidR="003168F8" w:rsidRPr="00662CBC" w:rsidRDefault="003168F8" w:rsidP="006064D6">
            <w:r w:rsidRPr="00662CBC">
              <w:t>Belarus</w:t>
            </w:r>
          </w:p>
        </w:tc>
        <w:tc>
          <w:tcPr>
            <w:tcW w:w="1111" w:type="dxa"/>
            <w:tcBorders>
              <w:top w:val="dotted" w:sz="4" w:space="0" w:color="FFFFFF"/>
              <w:left w:val="dotted" w:sz="4" w:space="0" w:color="FFFFFF"/>
              <w:bottom w:val="threeDEmboss" w:sz="24" w:space="0" w:color="002060"/>
              <w:right w:val="dotted" w:sz="4" w:space="0" w:color="FFFFFF"/>
            </w:tcBorders>
            <w:shd w:val="clear" w:color="auto" w:fill="C00000"/>
          </w:tcPr>
          <w:p w14:paraId="31A76789" w14:textId="77777777" w:rsidR="003168F8" w:rsidRPr="00662CBC" w:rsidRDefault="003168F8" w:rsidP="006064D6">
            <w:pPr>
              <w:jc w:val="center"/>
              <w:rPr>
                <w:color w:val="FFFFFF" w:themeColor="background1"/>
              </w:rPr>
            </w:pPr>
          </w:p>
        </w:tc>
        <w:tc>
          <w:tcPr>
            <w:tcW w:w="1561" w:type="dxa"/>
            <w:tcBorders>
              <w:top w:val="dotted" w:sz="4" w:space="0" w:color="FFFFFF"/>
              <w:left w:val="dotted" w:sz="4" w:space="0" w:color="FFFFFF"/>
              <w:bottom w:val="threeDEmboss" w:sz="24" w:space="0" w:color="002060"/>
              <w:right w:val="dotted" w:sz="4" w:space="0" w:color="FFFFFF"/>
            </w:tcBorders>
            <w:shd w:val="clear" w:color="auto" w:fill="C00000"/>
          </w:tcPr>
          <w:p w14:paraId="7E3BB6CD" w14:textId="77777777" w:rsidR="003168F8" w:rsidRPr="00662CBC" w:rsidRDefault="003168F8" w:rsidP="006064D6">
            <w:pPr>
              <w:jc w:val="center"/>
              <w:rPr>
                <w:color w:val="FFFFFF" w:themeColor="background1"/>
              </w:rPr>
            </w:pPr>
          </w:p>
        </w:tc>
        <w:tc>
          <w:tcPr>
            <w:tcW w:w="1269" w:type="dxa"/>
            <w:tcBorders>
              <w:top w:val="dotted" w:sz="4" w:space="0" w:color="FFFFFF"/>
              <w:left w:val="dotted" w:sz="4" w:space="0" w:color="FFFFFF"/>
              <w:bottom w:val="threeDEmboss" w:sz="24" w:space="0" w:color="002060"/>
              <w:right w:val="dotted" w:sz="4" w:space="0" w:color="FFFFFF"/>
            </w:tcBorders>
            <w:shd w:val="clear" w:color="auto" w:fill="FB786F"/>
          </w:tcPr>
          <w:p w14:paraId="53E0D3FA" w14:textId="77777777" w:rsidR="003168F8" w:rsidRPr="00662CBC" w:rsidRDefault="003168F8" w:rsidP="006064D6"/>
        </w:tc>
        <w:tc>
          <w:tcPr>
            <w:tcW w:w="0" w:type="auto"/>
            <w:tcBorders>
              <w:top w:val="dotted" w:sz="4" w:space="0" w:color="FFFFFF"/>
              <w:left w:val="dotted" w:sz="4" w:space="0" w:color="FFFFFF"/>
              <w:bottom w:val="threeDEmboss" w:sz="24" w:space="0" w:color="002060"/>
              <w:right w:val="dotted" w:sz="4" w:space="0" w:color="FFFFFF"/>
            </w:tcBorders>
            <w:shd w:val="clear" w:color="auto" w:fill="C00000"/>
          </w:tcPr>
          <w:p w14:paraId="7331013F" w14:textId="77777777" w:rsidR="003168F8" w:rsidRPr="00662CBC" w:rsidRDefault="003168F8" w:rsidP="006064D6"/>
        </w:tc>
        <w:tc>
          <w:tcPr>
            <w:tcW w:w="1275" w:type="dxa"/>
            <w:tcBorders>
              <w:top w:val="dotted" w:sz="4" w:space="0" w:color="FFFFFF"/>
              <w:left w:val="dotted" w:sz="4" w:space="0" w:color="FFFFFF"/>
              <w:bottom w:val="threeDEmboss" w:sz="24" w:space="0" w:color="002060"/>
              <w:right w:val="dotted" w:sz="4" w:space="0" w:color="FFFFFF"/>
            </w:tcBorders>
            <w:shd w:val="clear" w:color="auto" w:fill="969696" w:themeFill="accent3"/>
          </w:tcPr>
          <w:p w14:paraId="3A09CF83" w14:textId="77777777" w:rsidR="003168F8" w:rsidRPr="00662CBC" w:rsidRDefault="003168F8" w:rsidP="006064D6"/>
        </w:tc>
        <w:tc>
          <w:tcPr>
            <w:tcW w:w="1153" w:type="dxa"/>
            <w:tcBorders>
              <w:top w:val="dotted" w:sz="4" w:space="0" w:color="FFFFFF"/>
              <w:left w:val="dotted" w:sz="4" w:space="0" w:color="FFFFFF"/>
              <w:bottom w:val="threeDEmboss" w:sz="24" w:space="0" w:color="002060"/>
              <w:right w:val="dotted" w:sz="4" w:space="0" w:color="FFFFFF"/>
            </w:tcBorders>
            <w:shd w:val="clear" w:color="auto" w:fill="C00000"/>
          </w:tcPr>
          <w:p w14:paraId="256AB7B9" w14:textId="77777777" w:rsidR="003168F8" w:rsidRPr="004A1C31" w:rsidRDefault="003168F8" w:rsidP="006064D6">
            <w:pPr>
              <w:jc w:val="center"/>
              <w:rPr>
                <w:b/>
                <w:bCs/>
                <w:color w:val="FFFFFF" w:themeColor="background1"/>
              </w:rPr>
            </w:pPr>
          </w:p>
        </w:tc>
        <w:tc>
          <w:tcPr>
            <w:tcW w:w="927" w:type="dxa"/>
            <w:tcBorders>
              <w:top w:val="dotted" w:sz="4" w:space="0" w:color="FFFFFF"/>
              <w:left w:val="dotted" w:sz="4" w:space="0" w:color="FFFFFF"/>
              <w:bottom w:val="threeDEmboss" w:sz="24" w:space="0" w:color="002060"/>
              <w:right w:val="dotted" w:sz="4" w:space="0" w:color="FFFFFF"/>
            </w:tcBorders>
            <w:shd w:val="clear" w:color="auto" w:fill="C00000"/>
          </w:tcPr>
          <w:p w14:paraId="0A16F39A" w14:textId="77777777" w:rsidR="003168F8" w:rsidRPr="004A1C31" w:rsidRDefault="003168F8" w:rsidP="006064D6">
            <w:pPr>
              <w:jc w:val="center"/>
              <w:rPr>
                <w:b/>
                <w:bCs/>
                <w:color w:val="FFFFFF" w:themeColor="background1"/>
              </w:rPr>
            </w:pPr>
          </w:p>
        </w:tc>
        <w:tc>
          <w:tcPr>
            <w:tcW w:w="1270" w:type="dxa"/>
            <w:tcBorders>
              <w:top w:val="dotted" w:sz="4" w:space="0" w:color="FFFFFF"/>
              <w:left w:val="dotted" w:sz="4" w:space="0" w:color="FFFFFF"/>
              <w:bottom w:val="threeDEmboss" w:sz="24" w:space="0" w:color="002060"/>
              <w:right w:val="dotted" w:sz="4" w:space="0" w:color="FFFFFF"/>
            </w:tcBorders>
            <w:shd w:val="clear" w:color="auto" w:fill="C00000"/>
          </w:tcPr>
          <w:p w14:paraId="2D8C01AF" w14:textId="77777777" w:rsidR="003168F8" w:rsidRPr="004A1C31" w:rsidRDefault="003168F8" w:rsidP="006064D6">
            <w:pPr>
              <w:jc w:val="center"/>
              <w:rPr>
                <w:b/>
                <w:bCs/>
                <w:color w:val="FFFFFF" w:themeColor="background1"/>
              </w:rPr>
            </w:pPr>
          </w:p>
        </w:tc>
        <w:tc>
          <w:tcPr>
            <w:tcW w:w="1795" w:type="dxa"/>
            <w:tcBorders>
              <w:top w:val="dotted" w:sz="4" w:space="0" w:color="FFFFFF"/>
              <w:left w:val="dotted" w:sz="4" w:space="0" w:color="FFFFFF"/>
              <w:bottom w:val="threeDEmboss" w:sz="24" w:space="0" w:color="002060"/>
              <w:right w:val="dotted" w:sz="4" w:space="0" w:color="FFFFFF"/>
            </w:tcBorders>
            <w:shd w:val="clear" w:color="auto" w:fill="969696" w:themeFill="accent3"/>
          </w:tcPr>
          <w:p w14:paraId="6F296CE4" w14:textId="77777777" w:rsidR="003168F8" w:rsidRPr="00662CBC" w:rsidRDefault="003168F8" w:rsidP="006064D6">
            <w:pPr>
              <w:jc w:val="center"/>
            </w:pPr>
          </w:p>
        </w:tc>
        <w:tc>
          <w:tcPr>
            <w:tcW w:w="1495" w:type="dxa"/>
            <w:tcBorders>
              <w:top w:val="dotted" w:sz="4" w:space="0" w:color="FFFFFF"/>
              <w:left w:val="dotted" w:sz="4" w:space="0" w:color="FFFFFF"/>
              <w:bottom w:val="threeDEmboss" w:sz="24" w:space="0" w:color="002060"/>
            </w:tcBorders>
            <w:shd w:val="clear" w:color="auto" w:fill="C00000"/>
          </w:tcPr>
          <w:p w14:paraId="23434A43" w14:textId="77777777" w:rsidR="003168F8" w:rsidRPr="00662CBC" w:rsidRDefault="003168F8" w:rsidP="006064D6">
            <w:pPr>
              <w:jc w:val="center"/>
            </w:pPr>
          </w:p>
        </w:tc>
      </w:tr>
      <w:tr w:rsidR="003168F8" w:rsidRPr="00662CBC" w14:paraId="7B4EBD9A" w14:textId="77777777" w:rsidTr="00764BE6">
        <w:tc>
          <w:tcPr>
            <w:tcW w:w="426" w:type="dxa"/>
            <w:tcBorders>
              <w:top w:val="threeDEmboss" w:sz="24" w:space="0" w:color="002060"/>
              <w:left w:val="threeDEmboss" w:sz="24" w:space="0" w:color="002060"/>
              <w:bottom w:val="threeDEmboss" w:sz="24" w:space="0" w:color="002060"/>
              <w:right w:val="dotted" w:sz="4" w:space="0" w:color="FFFFFF"/>
            </w:tcBorders>
          </w:tcPr>
          <w:p w14:paraId="662D6402"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threeDEmboss" w:sz="24" w:space="0" w:color="002060"/>
              <w:left w:val="dotted" w:sz="4" w:space="0" w:color="FFFFFF"/>
              <w:bottom w:val="threeDEmboss" w:sz="24" w:space="0" w:color="002060"/>
              <w:right w:val="dotted" w:sz="4" w:space="0" w:color="FFFFFF"/>
            </w:tcBorders>
          </w:tcPr>
          <w:p w14:paraId="76629AC8" w14:textId="77777777" w:rsidR="003168F8" w:rsidRPr="00662CBC" w:rsidRDefault="003168F8" w:rsidP="006064D6">
            <w:r w:rsidRPr="00662CBC">
              <w:t xml:space="preserve">Belgium </w:t>
            </w:r>
          </w:p>
        </w:tc>
        <w:tc>
          <w:tcPr>
            <w:tcW w:w="1111" w:type="dxa"/>
            <w:tcBorders>
              <w:top w:val="threeDEmboss" w:sz="24" w:space="0" w:color="002060"/>
              <w:left w:val="dotted" w:sz="4" w:space="0" w:color="FFFFFF"/>
              <w:bottom w:val="threeDEmboss" w:sz="24" w:space="0" w:color="002060"/>
              <w:right w:val="dotted" w:sz="4" w:space="0" w:color="FFFFFF"/>
            </w:tcBorders>
            <w:shd w:val="clear" w:color="auto" w:fill="098C44"/>
          </w:tcPr>
          <w:p w14:paraId="3FD8E6BD" w14:textId="77777777" w:rsidR="003168F8" w:rsidRPr="00662CBC" w:rsidRDefault="003168F8" w:rsidP="006064D6">
            <w:pPr>
              <w:jc w:val="center"/>
              <w:rPr>
                <w:b/>
                <w:bCs/>
                <w:color w:val="FFFFFF" w:themeColor="background1"/>
              </w:rPr>
            </w:pPr>
            <w:r w:rsidRPr="00662CBC">
              <w:rPr>
                <w:b/>
                <w:bCs/>
                <w:color w:val="FFFFFF" w:themeColor="background1"/>
              </w:rPr>
              <w:t xml:space="preserve">C </w:t>
            </w:r>
          </w:p>
        </w:tc>
        <w:tc>
          <w:tcPr>
            <w:tcW w:w="1561" w:type="dxa"/>
            <w:tcBorders>
              <w:top w:val="threeDEmboss" w:sz="24" w:space="0" w:color="002060"/>
              <w:left w:val="dotted" w:sz="4" w:space="0" w:color="FFFFFF"/>
              <w:bottom w:val="threeDEmboss" w:sz="24" w:space="0" w:color="002060"/>
              <w:right w:val="dotted" w:sz="4" w:space="0" w:color="FFFFFF"/>
            </w:tcBorders>
            <w:shd w:val="clear" w:color="auto" w:fill="098C44"/>
          </w:tcPr>
          <w:p w14:paraId="7F18B2B4" w14:textId="77777777" w:rsidR="003168F8" w:rsidRPr="00662CBC" w:rsidRDefault="003168F8" w:rsidP="006064D6">
            <w:pPr>
              <w:jc w:val="center"/>
              <w:rPr>
                <w:color w:val="FFFFFF" w:themeColor="background1"/>
              </w:rPr>
            </w:pPr>
            <w:r w:rsidRPr="00662CBC">
              <w:rPr>
                <w:b/>
                <w:bCs/>
                <w:color w:val="FFFFFF" w:themeColor="background1"/>
              </w:rPr>
              <w:t>C +L</w:t>
            </w:r>
          </w:p>
        </w:tc>
        <w:tc>
          <w:tcPr>
            <w:tcW w:w="1269" w:type="dxa"/>
            <w:tcBorders>
              <w:top w:val="threeDEmboss" w:sz="24" w:space="0" w:color="002060"/>
              <w:left w:val="dotted" w:sz="4" w:space="0" w:color="FFFFFF"/>
              <w:bottom w:val="threeDEmboss" w:sz="24" w:space="0" w:color="002060"/>
              <w:right w:val="dotted" w:sz="4" w:space="0" w:color="FFFFFF"/>
            </w:tcBorders>
            <w:shd w:val="clear" w:color="auto" w:fill="FB786F"/>
          </w:tcPr>
          <w:p w14:paraId="718C9F9E" w14:textId="77777777" w:rsidR="003168F8" w:rsidRPr="00662CBC" w:rsidRDefault="003168F8" w:rsidP="006064D6"/>
        </w:tc>
        <w:tc>
          <w:tcPr>
            <w:tcW w:w="0" w:type="auto"/>
            <w:tcBorders>
              <w:top w:val="threeDEmboss" w:sz="24" w:space="0" w:color="002060"/>
              <w:left w:val="dotted" w:sz="4" w:space="0" w:color="FFFFFF"/>
              <w:bottom w:val="threeDEmboss" w:sz="24" w:space="0" w:color="002060"/>
              <w:right w:val="dotted" w:sz="4" w:space="0" w:color="FFFFFF"/>
            </w:tcBorders>
            <w:shd w:val="clear" w:color="auto" w:fill="098C44"/>
          </w:tcPr>
          <w:p w14:paraId="3AD476E5" w14:textId="77777777" w:rsidR="003168F8" w:rsidRPr="00662CBC" w:rsidRDefault="003168F8" w:rsidP="006064D6">
            <w:pPr>
              <w:jc w:val="center"/>
              <w:rPr>
                <w:color w:val="FFFFFF" w:themeColor="background1"/>
              </w:rPr>
            </w:pPr>
            <w:r w:rsidRPr="00662CBC">
              <w:rPr>
                <w:b/>
                <w:bCs/>
                <w:color w:val="FFFFFF" w:themeColor="background1"/>
              </w:rPr>
              <w:t>L</w:t>
            </w:r>
          </w:p>
        </w:tc>
        <w:tc>
          <w:tcPr>
            <w:tcW w:w="1275" w:type="dxa"/>
            <w:tcBorders>
              <w:top w:val="threeDEmboss" w:sz="24" w:space="0" w:color="002060"/>
              <w:left w:val="dotted" w:sz="4" w:space="0" w:color="FFFFFF"/>
              <w:bottom w:val="threeDEmboss" w:sz="24" w:space="0" w:color="002060"/>
              <w:right w:val="dotted" w:sz="4" w:space="0" w:color="FFFFFF"/>
            </w:tcBorders>
            <w:shd w:val="diagCross" w:color="098C44" w:fill="auto"/>
          </w:tcPr>
          <w:p w14:paraId="03E20AD5" w14:textId="77777777" w:rsidR="003168F8" w:rsidRPr="00662CBC" w:rsidRDefault="003168F8" w:rsidP="006064D6">
            <w:pPr>
              <w:rPr>
                <w:b/>
                <w:bCs/>
                <w:color w:val="FFFFFF" w:themeColor="background1"/>
              </w:rPr>
            </w:pPr>
            <w:r w:rsidRPr="00662CBC">
              <w:rPr>
                <w:b/>
                <w:bCs/>
                <w:color w:val="FFFFFF" w:themeColor="background1"/>
              </w:rPr>
              <w:t>L - At subnational level</w:t>
            </w:r>
          </w:p>
        </w:tc>
        <w:tc>
          <w:tcPr>
            <w:tcW w:w="1153" w:type="dxa"/>
            <w:tcBorders>
              <w:top w:val="threeDEmboss" w:sz="24" w:space="0" w:color="002060"/>
              <w:left w:val="dotted" w:sz="4" w:space="0" w:color="FFFFFF"/>
              <w:bottom w:val="threeDEmboss" w:sz="24" w:space="0" w:color="002060"/>
              <w:right w:val="dotted" w:sz="4" w:space="0" w:color="FFFFFF"/>
            </w:tcBorders>
            <w:shd w:val="clear" w:color="auto" w:fill="00B0F0"/>
          </w:tcPr>
          <w:p w14:paraId="094CF9AF" w14:textId="4E60C293" w:rsidR="002546E1" w:rsidRPr="004A1C31" w:rsidRDefault="002546E1" w:rsidP="002546E1">
            <w:pPr>
              <w:jc w:val="center"/>
              <w:rPr>
                <w:b/>
                <w:bCs/>
                <w:color w:val="FFFFFF" w:themeColor="background1"/>
              </w:rPr>
            </w:pPr>
            <w:r w:rsidRPr="004A1C31">
              <w:rPr>
                <w:b/>
                <w:bCs/>
                <w:color w:val="FFFFFF" w:themeColor="background1"/>
              </w:rPr>
              <w:t xml:space="preserve">L </w:t>
            </w:r>
          </w:p>
          <w:p w14:paraId="11C6467A" w14:textId="77777777" w:rsidR="003168F8" w:rsidRPr="004A1C31" w:rsidRDefault="003168F8" w:rsidP="006064D6">
            <w:pPr>
              <w:jc w:val="center"/>
              <w:rPr>
                <w:b/>
                <w:bCs/>
                <w:color w:val="FFFFFF" w:themeColor="background1"/>
              </w:rPr>
            </w:pPr>
          </w:p>
        </w:tc>
        <w:tc>
          <w:tcPr>
            <w:tcW w:w="927" w:type="dxa"/>
            <w:tcBorders>
              <w:top w:val="threeDEmboss" w:sz="24" w:space="0" w:color="002060"/>
              <w:left w:val="dotted" w:sz="4" w:space="0" w:color="FFFFFF"/>
              <w:bottom w:val="threeDEmboss" w:sz="24" w:space="0" w:color="002060"/>
              <w:right w:val="dotted" w:sz="4" w:space="0" w:color="FFFFFF"/>
            </w:tcBorders>
            <w:shd w:val="clear" w:color="auto" w:fill="969696" w:themeFill="accent3"/>
          </w:tcPr>
          <w:p w14:paraId="7E8A7987" w14:textId="77777777" w:rsidR="003168F8" w:rsidRPr="004A1C31" w:rsidRDefault="003168F8" w:rsidP="006064D6">
            <w:pPr>
              <w:jc w:val="center"/>
              <w:rPr>
                <w:b/>
                <w:bCs/>
                <w:color w:val="FFFFFF" w:themeColor="background1"/>
              </w:rPr>
            </w:pPr>
          </w:p>
        </w:tc>
        <w:tc>
          <w:tcPr>
            <w:tcW w:w="1270" w:type="dxa"/>
            <w:tcBorders>
              <w:top w:val="threeDEmboss" w:sz="24" w:space="0" w:color="002060"/>
              <w:left w:val="dotted" w:sz="4" w:space="0" w:color="FFFFFF"/>
              <w:bottom w:val="threeDEmboss" w:sz="24" w:space="0" w:color="002060"/>
              <w:right w:val="dotted" w:sz="4" w:space="0" w:color="FFFFFF"/>
            </w:tcBorders>
            <w:shd w:val="clear" w:color="auto" w:fill="098C44"/>
          </w:tcPr>
          <w:p w14:paraId="21652DA0" w14:textId="77777777" w:rsidR="003168F8" w:rsidRPr="004A1C31" w:rsidRDefault="003168F8" w:rsidP="006064D6">
            <w:pPr>
              <w:jc w:val="center"/>
              <w:rPr>
                <w:b/>
                <w:bCs/>
                <w:color w:val="FFFFFF" w:themeColor="background1"/>
              </w:rPr>
            </w:pPr>
          </w:p>
        </w:tc>
        <w:tc>
          <w:tcPr>
            <w:tcW w:w="1795" w:type="dxa"/>
            <w:tcBorders>
              <w:top w:val="threeDEmboss" w:sz="24" w:space="0" w:color="002060"/>
              <w:left w:val="dotted" w:sz="4" w:space="0" w:color="FFFFFF"/>
              <w:bottom w:val="threeDEmboss" w:sz="24" w:space="0" w:color="002060"/>
              <w:right w:val="dotted" w:sz="4" w:space="0" w:color="FFFFFF"/>
            </w:tcBorders>
            <w:shd w:val="clear" w:color="auto" w:fill="098C44"/>
          </w:tcPr>
          <w:p w14:paraId="6946772A" w14:textId="77777777" w:rsidR="003168F8" w:rsidRPr="00662CBC" w:rsidRDefault="003168F8" w:rsidP="006064D6">
            <w:pPr>
              <w:jc w:val="center"/>
              <w:rPr>
                <w:b/>
                <w:bCs/>
                <w:color w:val="FFFFFF" w:themeColor="background1"/>
              </w:rPr>
            </w:pPr>
            <w:r w:rsidRPr="00662CBC">
              <w:rPr>
                <w:b/>
                <w:bCs/>
                <w:color w:val="FFFFFF" w:themeColor="background1"/>
              </w:rPr>
              <w:t>L - Federal scientific establishments</w:t>
            </w:r>
          </w:p>
          <w:p w14:paraId="4F566DBC" w14:textId="77777777" w:rsidR="003168F8" w:rsidRPr="00662CBC" w:rsidRDefault="003168F8" w:rsidP="006064D6">
            <w:pPr>
              <w:jc w:val="center"/>
            </w:pPr>
            <w:r w:rsidRPr="00662CBC">
              <w:rPr>
                <w:b/>
                <w:bCs/>
                <w:color w:val="FFFFFF" w:themeColor="background1"/>
              </w:rPr>
              <w:t>L - Judiciary</w:t>
            </w:r>
          </w:p>
        </w:tc>
        <w:tc>
          <w:tcPr>
            <w:tcW w:w="1495" w:type="dxa"/>
            <w:tcBorders>
              <w:top w:val="threeDEmboss" w:sz="24" w:space="0" w:color="002060"/>
              <w:left w:val="dotted" w:sz="4" w:space="0" w:color="FFFFFF"/>
              <w:bottom w:val="threeDEmboss" w:sz="24" w:space="0" w:color="002060"/>
              <w:right w:val="threeDEmboss" w:sz="24" w:space="0" w:color="002060"/>
            </w:tcBorders>
            <w:shd w:val="diagCross" w:color="098C44" w:fill="auto"/>
          </w:tcPr>
          <w:p w14:paraId="41BC9937" w14:textId="77777777" w:rsidR="003168F8" w:rsidRPr="00662CBC" w:rsidRDefault="003168F8" w:rsidP="006064D6">
            <w:pPr>
              <w:jc w:val="center"/>
              <w:rPr>
                <w:b/>
                <w:bCs/>
              </w:rPr>
            </w:pPr>
            <w:r w:rsidRPr="00662CBC">
              <w:rPr>
                <w:b/>
                <w:bCs/>
                <w:color w:val="FFFFFF" w:themeColor="background1"/>
              </w:rPr>
              <w:t>L - Only public sector</w:t>
            </w:r>
          </w:p>
        </w:tc>
      </w:tr>
      <w:tr w:rsidR="003168F8" w:rsidRPr="00662CBC" w14:paraId="2B517947" w14:textId="77777777" w:rsidTr="0029750E">
        <w:tc>
          <w:tcPr>
            <w:tcW w:w="426" w:type="dxa"/>
            <w:tcBorders>
              <w:top w:val="threeDEmboss" w:sz="24" w:space="0" w:color="002060"/>
              <w:left w:val="dotted" w:sz="4" w:space="0" w:color="FFFFFF"/>
              <w:bottom w:val="threeDEmboss" w:sz="24" w:space="0" w:color="002060"/>
              <w:right w:val="dotted" w:sz="4" w:space="0" w:color="FFFFFF"/>
            </w:tcBorders>
          </w:tcPr>
          <w:p w14:paraId="16CCA8FF"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threeDEmboss" w:sz="24" w:space="0" w:color="002060"/>
              <w:left w:val="dotted" w:sz="4" w:space="0" w:color="FFFFFF"/>
              <w:bottom w:val="threeDEmboss" w:sz="24" w:space="0" w:color="002060"/>
              <w:right w:val="dotted" w:sz="4" w:space="0" w:color="FFFFFF"/>
            </w:tcBorders>
          </w:tcPr>
          <w:p w14:paraId="447BEF6A" w14:textId="77777777" w:rsidR="003168F8" w:rsidRPr="00662CBC" w:rsidRDefault="003168F8" w:rsidP="006064D6">
            <w:r w:rsidRPr="00662CBC">
              <w:t xml:space="preserve">Bosnia and Herzegovina </w:t>
            </w:r>
          </w:p>
        </w:tc>
        <w:tc>
          <w:tcPr>
            <w:tcW w:w="1111" w:type="dxa"/>
            <w:tcBorders>
              <w:top w:val="threeDEmboss" w:sz="24" w:space="0" w:color="002060"/>
              <w:left w:val="dotted" w:sz="4" w:space="0" w:color="FFFFFF"/>
              <w:bottom w:val="threeDEmboss" w:sz="24" w:space="0" w:color="002060"/>
              <w:right w:val="dotted" w:sz="4" w:space="0" w:color="FFFFFF"/>
            </w:tcBorders>
            <w:shd w:val="clear" w:color="auto" w:fill="098C44"/>
          </w:tcPr>
          <w:p w14:paraId="619C98DC" w14:textId="77777777" w:rsidR="003168F8" w:rsidRPr="00662CBC" w:rsidRDefault="003168F8" w:rsidP="006064D6">
            <w:pPr>
              <w:jc w:val="center"/>
              <w:rPr>
                <w:color w:val="FFFFFF" w:themeColor="background1"/>
              </w:rPr>
            </w:pPr>
            <w:r w:rsidRPr="00662CBC">
              <w:rPr>
                <w:color w:val="FFFFFF" w:themeColor="background1"/>
              </w:rPr>
              <w:t>C</w:t>
            </w:r>
          </w:p>
        </w:tc>
        <w:tc>
          <w:tcPr>
            <w:tcW w:w="1561" w:type="dxa"/>
            <w:tcBorders>
              <w:top w:val="threeDEmboss" w:sz="24" w:space="0" w:color="002060"/>
              <w:left w:val="dotted" w:sz="4" w:space="0" w:color="FFFFFF"/>
              <w:bottom w:val="threeDEmboss" w:sz="24" w:space="0" w:color="002060"/>
              <w:right w:val="dotted" w:sz="4" w:space="0" w:color="FFFFFF"/>
            </w:tcBorders>
            <w:shd w:val="clear" w:color="auto" w:fill="C00000"/>
          </w:tcPr>
          <w:p w14:paraId="4FA12A94" w14:textId="77777777" w:rsidR="003168F8" w:rsidRPr="00662CBC" w:rsidRDefault="003168F8" w:rsidP="006064D6">
            <w:pPr>
              <w:jc w:val="center"/>
              <w:rPr>
                <w:color w:val="FFFFFF" w:themeColor="background1"/>
              </w:rPr>
            </w:pPr>
          </w:p>
        </w:tc>
        <w:tc>
          <w:tcPr>
            <w:tcW w:w="1269" w:type="dxa"/>
            <w:tcBorders>
              <w:top w:val="threeDEmboss" w:sz="24" w:space="0" w:color="002060"/>
              <w:left w:val="dotted" w:sz="4" w:space="0" w:color="FFFFFF"/>
              <w:bottom w:val="threeDEmboss" w:sz="24" w:space="0" w:color="002060"/>
              <w:right w:val="dotted" w:sz="4" w:space="0" w:color="FFFFFF"/>
            </w:tcBorders>
            <w:shd w:val="clear" w:color="auto" w:fill="FB786F"/>
          </w:tcPr>
          <w:p w14:paraId="74EB56DD" w14:textId="77777777" w:rsidR="003168F8" w:rsidRPr="00662CBC" w:rsidRDefault="003168F8" w:rsidP="006064D6"/>
        </w:tc>
        <w:tc>
          <w:tcPr>
            <w:tcW w:w="0" w:type="auto"/>
            <w:tcBorders>
              <w:top w:val="threeDEmboss" w:sz="24" w:space="0" w:color="002060"/>
              <w:left w:val="dotted" w:sz="4" w:space="0" w:color="FFFFFF"/>
              <w:bottom w:val="threeDEmboss" w:sz="24" w:space="0" w:color="002060"/>
              <w:right w:val="dotted" w:sz="4" w:space="0" w:color="FFFFFF"/>
            </w:tcBorders>
            <w:shd w:val="clear" w:color="auto" w:fill="969696" w:themeFill="accent3"/>
          </w:tcPr>
          <w:p w14:paraId="03705A18" w14:textId="77777777" w:rsidR="003168F8" w:rsidRPr="00662CBC" w:rsidRDefault="003168F8" w:rsidP="006064D6"/>
        </w:tc>
        <w:tc>
          <w:tcPr>
            <w:tcW w:w="1275" w:type="dxa"/>
            <w:tcBorders>
              <w:top w:val="threeDEmboss" w:sz="24" w:space="0" w:color="002060"/>
              <w:left w:val="dotted" w:sz="4" w:space="0" w:color="FFFFFF"/>
              <w:bottom w:val="threeDEmboss" w:sz="24" w:space="0" w:color="002060"/>
              <w:right w:val="dotted" w:sz="4" w:space="0" w:color="FFFFFF"/>
            </w:tcBorders>
            <w:shd w:val="clear" w:color="auto" w:fill="969696" w:themeFill="accent3"/>
          </w:tcPr>
          <w:p w14:paraId="083CFD4D" w14:textId="77777777" w:rsidR="003168F8" w:rsidRPr="00662CBC" w:rsidRDefault="003168F8" w:rsidP="006064D6"/>
        </w:tc>
        <w:tc>
          <w:tcPr>
            <w:tcW w:w="1153" w:type="dxa"/>
            <w:tcBorders>
              <w:top w:val="threeDEmboss" w:sz="24" w:space="0" w:color="002060"/>
              <w:left w:val="dotted" w:sz="4" w:space="0" w:color="FFFFFF"/>
              <w:bottom w:val="threeDEmboss" w:sz="24" w:space="0" w:color="002060"/>
              <w:right w:val="dotted" w:sz="4" w:space="0" w:color="FFFFFF"/>
            </w:tcBorders>
            <w:shd w:val="clear" w:color="auto" w:fill="C00000"/>
          </w:tcPr>
          <w:p w14:paraId="26CE1764" w14:textId="77777777" w:rsidR="003168F8" w:rsidRPr="004A1C31" w:rsidRDefault="003168F8" w:rsidP="006064D6">
            <w:pPr>
              <w:jc w:val="center"/>
              <w:rPr>
                <w:b/>
                <w:bCs/>
                <w:color w:val="FFFFFF" w:themeColor="background1"/>
              </w:rPr>
            </w:pPr>
          </w:p>
        </w:tc>
        <w:tc>
          <w:tcPr>
            <w:tcW w:w="927" w:type="dxa"/>
            <w:tcBorders>
              <w:top w:val="threeDEmboss" w:sz="24" w:space="0" w:color="002060"/>
              <w:left w:val="dotted" w:sz="4" w:space="0" w:color="FFFFFF"/>
              <w:bottom w:val="threeDEmboss" w:sz="24" w:space="0" w:color="002060"/>
              <w:right w:val="dotted" w:sz="4" w:space="0" w:color="FFFFFF"/>
            </w:tcBorders>
            <w:shd w:val="clear" w:color="auto" w:fill="C00000"/>
          </w:tcPr>
          <w:p w14:paraId="4B641571" w14:textId="77777777" w:rsidR="003168F8" w:rsidRPr="004A1C31" w:rsidRDefault="003168F8" w:rsidP="006064D6">
            <w:pPr>
              <w:jc w:val="center"/>
              <w:rPr>
                <w:b/>
                <w:bCs/>
                <w:color w:val="FFFFFF" w:themeColor="background1"/>
              </w:rPr>
            </w:pPr>
          </w:p>
        </w:tc>
        <w:tc>
          <w:tcPr>
            <w:tcW w:w="1270" w:type="dxa"/>
            <w:tcBorders>
              <w:top w:val="threeDEmboss" w:sz="24" w:space="0" w:color="002060"/>
              <w:left w:val="dotted" w:sz="4" w:space="0" w:color="FFFFFF"/>
              <w:bottom w:val="threeDEmboss" w:sz="24" w:space="0" w:color="002060"/>
              <w:right w:val="dotted" w:sz="4" w:space="0" w:color="FFFFFF"/>
            </w:tcBorders>
            <w:shd w:val="clear" w:color="auto" w:fill="098C44"/>
          </w:tcPr>
          <w:p w14:paraId="59978024" w14:textId="77777777" w:rsidR="003168F8" w:rsidRPr="004A1C31" w:rsidRDefault="003168F8" w:rsidP="006064D6">
            <w:pPr>
              <w:jc w:val="center"/>
              <w:rPr>
                <w:b/>
                <w:bCs/>
                <w:color w:val="FFFFFF" w:themeColor="background1"/>
              </w:rPr>
            </w:pPr>
          </w:p>
        </w:tc>
        <w:tc>
          <w:tcPr>
            <w:tcW w:w="1795" w:type="dxa"/>
            <w:tcBorders>
              <w:top w:val="threeDEmboss" w:sz="24" w:space="0" w:color="002060"/>
              <w:left w:val="dotted" w:sz="4" w:space="0" w:color="FFFFFF"/>
              <w:bottom w:val="threeDEmboss" w:sz="24" w:space="0" w:color="002060"/>
              <w:right w:val="dotted" w:sz="4" w:space="0" w:color="FFFFFF"/>
            </w:tcBorders>
            <w:shd w:val="clear" w:color="auto" w:fill="969696" w:themeFill="accent3"/>
          </w:tcPr>
          <w:p w14:paraId="241BDB18" w14:textId="77777777" w:rsidR="003168F8" w:rsidRPr="00662CBC" w:rsidRDefault="003168F8" w:rsidP="006064D6">
            <w:pPr>
              <w:jc w:val="center"/>
              <w:rPr>
                <w:b/>
                <w:bCs/>
              </w:rPr>
            </w:pPr>
            <w:r w:rsidRPr="00662CBC">
              <w:rPr>
                <w:b/>
                <w:bCs/>
                <w:color w:val="FFFFFF" w:themeColor="background1"/>
              </w:rPr>
              <w:t>Ethnic quotas in public administration</w:t>
            </w:r>
          </w:p>
        </w:tc>
        <w:tc>
          <w:tcPr>
            <w:tcW w:w="1495" w:type="dxa"/>
            <w:tcBorders>
              <w:top w:val="threeDEmboss" w:sz="24" w:space="0" w:color="002060"/>
              <w:left w:val="dotted" w:sz="4" w:space="0" w:color="FFFFFF"/>
              <w:bottom w:val="threeDEmboss" w:sz="24" w:space="0" w:color="002060"/>
              <w:right w:val="dotted" w:sz="4" w:space="0" w:color="FFFFFF"/>
            </w:tcBorders>
            <w:shd w:val="clear" w:color="auto" w:fill="098C44"/>
          </w:tcPr>
          <w:p w14:paraId="5BB0DE6A" w14:textId="77777777" w:rsidR="003168F8" w:rsidRPr="00662CBC" w:rsidRDefault="003168F8" w:rsidP="006064D6">
            <w:pPr>
              <w:jc w:val="center"/>
            </w:pPr>
            <w:r w:rsidRPr="00662CBC">
              <w:rPr>
                <w:b/>
                <w:bCs/>
                <w:color w:val="FFFFFF" w:themeColor="background1"/>
              </w:rPr>
              <w:t xml:space="preserve">L </w:t>
            </w:r>
          </w:p>
        </w:tc>
      </w:tr>
      <w:tr w:rsidR="003168F8" w:rsidRPr="00662CBC" w14:paraId="01903B8B" w14:textId="77777777" w:rsidTr="003A516A">
        <w:tc>
          <w:tcPr>
            <w:tcW w:w="426" w:type="dxa"/>
            <w:tcBorders>
              <w:top w:val="threeDEmboss" w:sz="24" w:space="0" w:color="002060"/>
              <w:left w:val="threeDEmboss" w:sz="24" w:space="0" w:color="002060"/>
              <w:bottom w:val="single" w:sz="4" w:space="0" w:color="FFFFFF" w:themeColor="background1"/>
              <w:right w:val="dotted" w:sz="4" w:space="0" w:color="FFFFFF"/>
            </w:tcBorders>
          </w:tcPr>
          <w:p w14:paraId="6FA65A6D"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threeDEmboss" w:sz="24" w:space="0" w:color="002060"/>
              <w:left w:val="dotted" w:sz="4" w:space="0" w:color="FFFFFF"/>
              <w:bottom w:val="single" w:sz="4" w:space="0" w:color="FFFFFF" w:themeColor="background1"/>
              <w:right w:val="dotted" w:sz="4" w:space="0" w:color="FFFFFF"/>
            </w:tcBorders>
          </w:tcPr>
          <w:p w14:paraId="5BE80C4B" w14:textId="77777777" w:rsidR="003168F8" w:rsidRPr="00662CBC" w:rsidRDefault="003168F8" w:rsidP="006064D6">
            <w:r w:rsidRPr="00662CBC">
              <w:t>Bulgaria</w:t>
            </w:r>
          </w:p>
        </w:tc>
        <w:tc>
          <w:tcPr>
            <w:tcW w:w="1111" w:type="dxa"/>
            <w:tcBorders>
              <w:top w:val="threeDEmboss" w:sz="24" w:space="0" w:color="002060"/>
              <w:left w:val="dotted" w:sz="4" w:space="0" w:color="FFFFFF"/>
              <w:bottom w:val="single" w:sz="4" w:space="0" w:color="FFFFFF" w:themeColor="background1"/>
              <w:right w:val="dotted" w:sz="4" w:space="0" w:color="FFFFFF"/>
            </w:tcBorders>
            <w:shd w:val="clear" w:color="auto" w:fill="C00000"/>
          </w:tcPr>
          <w:p w14:paraId="702C8D75" w14:textId="77777777" w:rsidR="003168F8" w:rsidRPr="00662CBC" w:rsidRDefault="003168F8" w:rsidP="006064D6">
            <w:pPr>
              <w:jc w:val="center"/>
              <w:rPr>
                <w:color w:val="FFFFFF" w:themeColor="background1"/>
              </w:rPr>
            </w:pPr>
          </w:p>
        </w:tc>
        <w:tc>
          <w:tcPr>
            <w:tcW w:w="1561" w:type="dxa"/>
            <w:tcBorders>
              <w:top w:val="threeDEmboss" w:sz="24" w:space="0" w:color="002060"/>
              <w:left w:val="dotted" w:sz="4" w:space="0" w:color="FFFFFF"/>
              <w:bottom w:val="single" w:sz="4" w:space="0" w:color="FFFFFF" w:themeColor="background1"/>
              <w:right w:val="dotted" w:sz="4" w:space="0" w:color="FFFFFF"/>
            </w:tcBorders>
            <w:shd w:val="clear" w:color="auto" w:fill="C00000"/>
          </w:tcPr>
          <w:p w14:paraId="783BB723" w14:textId="77777777" w:rsidR="003168F8" w:rsidRPr="00662CBC" w:rsidRDefault="003168F8" w:rsidP="006064D6">
            <w:pPr>
              <w:jc w:val="center"/>
              <w:rPr>
                <w:color w:val="FFFFFF" w:themeColor="background1"/>
              </w:rPr>
            </w:pPr>
          </w:p>
        </w:tc>
        <w:tc>
          <w:tcPr>
            <w:tcW w:w="1269" w:type="dxa"/>
            <w:tcBorders>
              <w:top w:val="threeDEmboss" w:sz="24" w:space="0" w:color="002060"/>
              <w:left w:val="dotted" w:sz="4" w:space="0" w:color="FFFFFF"/>
              <w:bottom w:val="single" w:sz="4" w:space="0" w:color="FFFFFF" w:themeColor="background1"/>
              <w:right w:val="dotted" w:sz="4" w:space="0" w:color="FFFFFF"/>
            </w:tcBorders>
            <w:shd w:val="clear" w:color="auto" w:fill="FB786F"/>
          </w:tcPr>
          <w:p w14:paraId="25EDC0D0" w14:textId="77777777" w:rsidR="003168F8" w:rsidRPr="00662CBC" w:rsidRDefault="003168F8" w:rsidP="006064D6"/>
        </w:tc>
        <w:tc>
          <w:tcPr>
            <w:tcW w:w="0" w:type="auto"/>
            <w:tcBorders>
              <w:top w:val="threeDEmboss" w:sz="24" w:space="0" w:color="002060"/>
              <w:left w:val="dotted" w:sz="4" w:space="0" w:color="FFFFFF"/>
              <w:bottom w:val="single" w:sz="4" w:space="0" w:color="FFFFFF" w:themeColor="background1"/>
              <w:right w:val="dotted" w:sz="4" w:space="0" w:color="FFFFFF"/>
            </w:tcBorders>
            <w:shd w:val="clear" w:color="auto" w:fill="C00000"/>
          </w:tcPr>
          <w:p w14:paraId="2D0AB239" w14:textId="77777777" w:rsidR="003168F8" w:rsidRPr="00662CBC" w:rsidRDefault="003168F8" w:rsidP="006064D6"/>
        </w:tc>
        <w:tc>
          <w:tcPr>
            <w:tcW w:w="1275" w:type="dxa"/>
            <w:tcBorders>
              <w:top w:val="threeDEmboss" w:sz="24" w:space="0" w:color="002060"/>
              <w:left w:val="dotted" w:sz="4" w:space="0" w:color="FFFFFF"/>
              <w:bottom w:val="single" w:sz="4" w:space="0" w:color="FFFFFF" w:themeColor="background1"/>
              <w:right w:val="dotted" w:sz="4" w:space="0" w:color="FFFFFF"/>
            </w:tcBorders>
            <w:shd w:val="clear" w:color="auto" w:fill="969696" w:themeFill="accent3"/>
          </w:tcPr>
          <w:p w14:paraId="0E63F333" w14:textId="77777777" w:rsidR="003168F8" w:rsidRPr="00662CBC" w:rsidRDefault="003168F8" w:rsidP="006064D6"/>
        </w:tc>
        <w:tc>
          <w:tcPr>
            <w:tcW w:w="1153" w:type="dxa"/>
            <w:tcBorders>
              <w:top w:val="threeDEmboss" w:sz="24" w:space="0" w:color="002060"/>
              <w:left w:val="dotted" w:sz="4" w:space="0" w:color="FFFFFF"/>
              <w:bottom w:val="single" w:sz="4" w:space="0" w:color="FFFFFF" w:themeColor="background1"/>
              <w:right w:val="dotted" w:sz="4" w:space="0" w:color="FFFFFF"/>
            </w:tcBorders>
            <w:shd w:val="clear" w:color="auto" w:fill="C00000"/>
          </w:tcPr>
          <w:p w14:paraId="2B75B1BD" w14:textId="77777777" w:rsidR="003168F8" w:rsidRPr="004A1C31" w:rsidRDefault="003168F8" w:rsidP="006064D6">
            <w:pPr>
              <w:jc w:val="center"/>
              <w:rPr>
                <w:b/>
                <w:bCs/>
                <w:color w:val="FFFFFF" w:themeColor="background1"/>
              </w:rPr>
            </w:pPr>
          </w:p>
        </w:tc>
        <w:tc>
          <w:tcPr>
            <w:tcW w:w="927" w:type="dxa"/>
            <w:tcBorders>
              <w:top w:val="threeDEmboss" w:sz="24" w:space="0" w:color="002060"/>
              <w:left w:val="dotted" w:sz="4" w:space="0" w:color="FFFFFF"/>
              <w:bottom w:val="single" w:sz="4" w:space="0" w:color="FFFFFF" w:themeColor="background1"/>
              <w:right w:val="dotted" w:sz="4" w:space="0" w:color="FFFFFF"/>
            </w:tcBorders>
            <w:shd w:val="clear" w:color="auto" w:fill="C00000"/>
          </w:tcPr>
          <w:p w14:paraId="5D305AB4" w14:textId="77777777" w:rsidR="003168F8" w:rsidRPr="004A1C31" w:rsidRDefault="003168F8" w:rsidP="006064D6">
            <w:pPr>
              <w:jc w:val="center"/>
              <w:rPr>
                <w:b/>
                <w:bCs/>
                <w:color w:val="FFFFFF" w:themeColor="background1"/>
              </w:rPr>
            </w:pPr>
          </w:p>
        </w:tc>
        <w:tc>
          <w:tcPr>
            <w:tcW w:w="1270" w:type="dxa"/>
            <w:tcBorders>
              <w:top w:val="threeDEmboss" w:sz="24" w:space="0" w:color="002060"/>
              <w:left w:val="dotted" w:sz="4" w:space="0" w:color="FFFFFF"/>
              <w:bottom w:val="single" w:sz="4" w:space="0" w:color="FFFFFF" w:themeColor="background1"/>
              <w:right w:val="dotted" w:sz="4" w:space="0" w:color="FFFFFF"/>
            </w:tcBorders>
            <w:shd w:val="clear" w:color="auto" w:fill="098C44"/>
          </w:tcPr>
          <w:p w14:paraId="23148A54" w14:textId="77777777" w:rsidR="003168F8" w:rsidRPr="004A1C31" w:rsidRDefault="003168F8" w:rsidP="006064D6">
            <w:pPr>
              <w:jc w:val="center"/>
              <w:rPr>
                <w:b/>
                <w:bCs/>
                <w:color w:val="FFFFFF" w:themeColor="background1"/>
              </w:rPr>
            </w:pPr>
          </w:p>
        </w:tc>
        <w:tc>
          <w:tcPr>
            <w:tcW w:w="1795" w:type="dxa"/>
            <w:tcBorders>
              <w:top w:val="threeDEmboss" w:sz="24" w:space="0" w:color="002060"/>
              <w:left w:val="dotted" w:sz="4" w:space="0" w:color="FFFFFF"/>
              <w:bottom w:val="single" w:sz="4" w:space="0" w:color="FFFFFF" w:themeColor="background1"/>
              <w:right w:val="dotted" w:sz="4" w:space="0" w:color="FFFFFF"/>
            </w:tcBorders>
            <w:shd w:val="clear" w:color="auto" w:fill="969696" w:themeFill="accent3"/>
          </w:tcPr>
          <w:p w14:paraId="660B714F" w14:textId="77777777" w:rsidR="003168F8" w:rsidRPr="00662CBC" w:rsidRDefault="003168F8" w:rsidP="006064D6">
            <w:pPr>
              <w:jc w:val="center"/>
            </w:pPr>
          </w:p>
        </w:tc>
        <w:tc>
          <w:tcPr>
            <w:tcW w:w="1495" w:type="dxa"/>
            <w:tcBorders>
              <w:top w:val="threeDEmboss" w:sz="24" w:space="0" w:color="002060"/>
              <w:left w:val="dotted" w:sz="4" w:space="0" w:color="FFFFFF"/>
              <w:bottom w:val="single" w:sz="4" w:space="0" w:color="FFFFFF" w:themeColor="background1"/>
              <w:right w:val="threeDEmboss" w:sz="24" w:space="0" w:color="002060"/>
            </w:tcBorders>
            <w:shd w:val="clear" w:color="auto" w:fill="098C44"/>
          </w:tcPr>
          <w:p w14:paraId="6006D7C3" w14:textId="77777777" w:rsidR="003168F8" w:rsidRPr="00662CBC" w:rsidRDefault="003168F8" w:rsidP="006064D6">
            <w:pPr>
              <w:jc w:val="center"/>
            </w:pPr>
            <w:r w:rsidRPr="00662CBC">
              <w:rPr>
                <w:b/>
                <w:bCs/>
                <w:color w:val="FFFFFF" w:themeColor="background1"/>
              </w:rPr>
              <w:t>L</w:t>
            </w:r>
          </w:p>
        </w:tc>
      </w:tr>
      <w:tr w:rsidR="003168F8" w:rsidRPr="00662CBC" w14:paraId="3B2EF3F4" w14:textId="77777777" w:rsidTr="00DF2B9B">
        <w:tc>
          <w:tcPr>
            <w:tcW w:w="426" w:type="dxa"/>
            <w:tcBorders>
              <w:top w:val="single" w:sz="4" w:space="0" w:color="FFFFFF" w:themeColor="background1"/>
              <w:left w:val="threeDEmboss" w:sz="24" w:space="0" w:color="002060"/>
              <w:bottom w:val="dotted" w:sz="4" w:space="0" w:color="FFFFFF"/>
              <w:right w:val="single" w:sz="4" w:space="0" w:color="FFFFFF" w:themeColor="background1"/>
            </w:tcBorders>
          </w:tcPr>
          <w:p w14:paraId="154905F6"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single" w:sz="4" w:space="0" w:color="FFFFFF" w:themeColor="background1"/>
              <w:left w:val="single" w:sz="4" w:space="0" w:color="FFFFFF" w:themeColor="background1"/>
              <w:bottom w:val="dotted" w:sz="4" w:space="0" w:color="FFFFFF"/>
              <w:right w:val="dotted" w:sz="4" w:space="0" w:color="FFFFFF"/>
            </w:tcBorders>
          </w:tcPr>
          <w:p w14:paraId="2D766644" w14:textId="77777777" w:rsidR="003168F8" w:rsidRPr="00662CBC" w:rsidRDefault="003168F8" w:rsidP="006064D6">
            <w:r w:rsidRPr="00662CBC">
              <w:t>Croatia</w:t>
            </w:r>
          </w:p>
        </w:tc>
        <w:tc>
          <w:tcPr>
            <w:tcW w:w="1111" w:type="dxa"/>
            <w:tcBorders>
              <w:top w:val="single" w:sz="4" w:space="0" w:color="FFFFFF" w:themeColor="background1"/>
              <w:left w:val="dotted" w:sz="4" w:space="0" w:color="FFFFFF"/>
              <w:bottom w:val="single" w:sz="4" w:space="0" w:color="FFFFFF" w:themeColor="background1"/>
              <w:right w:val="dotted" w:sz="4" w:space="0" w:color="FFFFFF"/>
            </w:tcBorders>
            <w:shd w:val="clear" w:color="auto" w:fill="098C44"/>
          </w:tcPr>
          <w:p w14:paraId="323E1103" w14:textId="77777777" w:rsidR="003168F8" w:rsidRPr="00662CBC" w:rsidRDefault="003168F8" w:rsidP="006064D6">
            <w:pPr>
              <w:jc w:val="center"/>
              <w:rPr>
                <w:b/>
                <w:bCs/>
                <w:color w:val="FFFFFF" w:themeColor="background1"/>
              </w:rPr>
            </w:pPr>
            <w:r w:rsidRPr="00662CBC">
              <w:rPr>
                <w:b/>
                <w:bCs/>
                <w:color w:val="FFFFFF" w:themeColor="background1"/>
              </w:rPr>
              <w:t>C</w:t>
            </w:r>
          </w:p>
        </w:tc>
        <w:tc>
          <w:tcPr>
            <w:tcW w:w="1561" w:type="dxa"/>
            <w:tcBorders>
              <w:top w:val="single" w:sz="4" w:space="0" w:color="FFFFFF" w:themeColor="background1"/>
              <w:left w:val="dotted" w:sz="4" w:space="0" w:color="FFFFFF"/>
              <w:bottom w:val="dotted" w:sz="4" w:space="0" w:color="FFFFFF"/>
              <w:right w:val="dotted" w:sz="4" w:space="0" w:color="FFFFFF"/>
            </w:tcBorders>
            <w:shd w:val="clear" w:color="auto" w:fill="098C44"/>
          </w:tcPr>
          <w:p w14:paraId="121F7B2B" w14:textId="77777777" w:rsidR="003168F8" w:rsidRPr="00662CBC" w:rsidRDefault="003168F8" w:rsidP="006064D6">
            <w:pPr>
              <w:jc w:val="center"/>
              <w:rPr>
                <w:b/>
                <w:bCs/>
                <w:color w:val="FFFFFF" w:themeColor="background1"/>
              </w:rPr>
            </w:pPr>
            <w:r w:rsidRPr="00662CBC">
              <w:rPr>
                <w:b/>
                <w:bCs/>
                <w:color w:val="FFFFFF" w:themeColor="background1"/>
              </w:rPr>
              <w:t>L</w:t>
            </w:r>
          </w:p>
        </w:tc>
        <w:tc>
          <w:tcPr>
            <w:tcW w:w="1269" w:type="dxa"/>
            <w:tcBorders>
              <w:top w:val="single" w:sz="4" w:space="0" w:color="FFFFFF" w:themeColor="background1"/>
              <w:left w:val="dotted" w:sz="4" w:space="0" w:color="FFFFFF"/>
              <w:bottom w:val="dotted" w:sz="4" w:space="0" w:color="FFFFFF"/>
              <w:right w:val="dotted" w:sz="4" w:space="0" w:color="FFFFFF"/>
            </w:tcBorders>
            <w:shd w:val="clear" w:color="auto" w:fill="F2FB93"/>
          </w:tcPr>
          <w:p w14:paraId="5CC4DEFF" w14:textId="77777777" w:rsidR="003168F8" w:rsidRPr="00662CBC" w:rsidRDefault="003168F8" w:rsidP="006064D6"/>
        </w:tc>
        <w:tc>
          <w:tcPr>
            <w:tcW w:w="0" w:type="auto"/>
            <w:tcBorders>
              <w:top w:val="single" w:sz="4" w:space="0" w:color="FFFFFF" w:themeColor="background1"/>
              <w:left w:val="dotted" w:sz="4" w:space="0" w:color="FFFFFF"/>
              <w:bottom w:val="dotted" w:sz="4" w:space="0" w:color="FFFFFF"/>
              <w:right w:val="dotted" w:sz="4" w:space="0" w:color="FFFFFF"/>
            </w:tcBorders>
            <w:shd w:val="clear" w:color="auto" w:fill="C00000"/>
          </w:tcPr>
          <w:p w14:paraId="07ABD1F1" w14:textId="77777777" w:rsidR="003168F8" w:rsidRPr="00662CBC" w:rsidRDefault="003168F8" w:rsidP="006064D6"/>
        </w:tc>
        <w:tc>
          <w:tcPr>
            <w:tcW w:w="1275" w:type="dxa"/>
            <w:tcBorders>
              <w:top w:val="single" w:sz="4" w:space="0" w:color="FFFFFF" w:themeColor="background1"/>
              <w:left w:val="dotted" w:sz="4" w:space="0" w:color="FFFFFF"/>
              <w:bottom w:val="dotted" w:sz="4" w:space="0" w:color="FFFFFF"/>
              <w:right w:val="dotted" w:sz="4" w:space="0" w:color="FFFFFF"/>
            </w:tcBorders>
            <w:shd w:val="clear" w:color="auto" w:fill="C00000"/>
          </w:tcPr>
          <w:p w14:paraId="65A1B88E" w14:textId="77777777" w:rsidR="003168F8" w:rsidRPr="00662CBC" w:rsidRDefault="003168F8" w:rsidP="006064D6"/>
        </w:tc>
        <w:tc>
          <w:tcPr>
            <w:tcW w:w="1153" w:type="dxa"/>
            <w:tcBorders>
              <w:top w:val="single" w:sz="4" w:space="0" w:color="FFFFFF" w:themeColor="background1"/>
              <w:left w:val="dotted" w:sz="4" w:space="0" w:color="FFFFFF"/>
              <w:bottom w:val="dotted" w:sz="4" w:space="0" w:color="FFFFFF"/>
              <w:right w:val="dotted" w:sz="4" w:space="0" w:color="FFFFFF"/>
            </w:tcBorders>
            <w:shd w:val="clear" w:color="auto" w:fill="098C44"/>
          </w:tcPr>
          <w:p w14:paraId="08320DA9" w14:textId="380A3C30" w:rsidR="003168F8" w:rsidRPr="00662CBC" w:rsidRDefault="003A516A" w:rsidP="006064D6">
            <w:pPr>
              <w:jc w:val="center"/>
              <w:rPr>
                <w:b/>
                <w:bCs/>
                <w:color w:val="FFFFFF" w:themeColor="background1"/>
              </w:rPr>
            </w:pPr>
            <w:r>
              <w:rPr>
                <w:b/>
                <w:bCs/>
                <w:color w:val="FFFFFF" w:themeColor="background1"/>
              </w:rPr>
              <w:t>L</w:t>
            </w:r>
          </w:p>
        </w:tc>
        <w:tc>
          <w:tcPr>
            <w:tcW w:w="927" w:type="dxa"/>
            <w:tcBorders>
              <w:top w:val="single" w:sz="4" w:space="0" w:color="FFFFFF" w:themeColor="background1"/>
              <w:left w:val="dotted" w:sz="4" w:space="0" w:color="FFFFFF"/>
              <w:bottom w:val="dotted" w:sz="4" w:space="0" w:color="FFFFFF"/>
              <w:right w:val="dotted" w:sz="4" w:space="0" w:color="FFFFFF"/>
            </w:tcBorders>
            <w:shd w:val="clear" w:color="auto" w:fill="C00000"/>
          </w:tcPr>
          <w:p w14:paraId="0342B95B" w14:textId="77777777" w:rsidR="003168F8" w:rsidRPr="00662CBC" w:rsidRDefault="003168F8" w:rsidP="006064D6">
            <w:pPr>
              <w:jc w:val="center"/>
              <w:rPr>
                <w:b/>
                <w:bCs/>
                <w:color w:val="FFFFFF" w:themeColor="background1"/>
              </w:rPr>
            </w:pPr>
          </w:p>
        </w:tc>
        <w:tc>
          <w:tcPr>
            <w:tcW w:w="1270" w:type="dxa"/>
            <w:tcBorders>
              <w:top w:val="single" w:sz="4" w:space="0" w:color="FFFFFF" w:themeColor="background1"/>
              <w:left w:val="dotted" w:sz="4" w:space="0" w:color="FFFFFF"/>
              <w:bottom w:val="dotted" w:sz="4" w:space="0" w:color="FFFFFF"/>
              <w:right w:val="dotted" w:sz="4" w:space="0" w:color="FFFFFF"/>
            </w:tcBorders>
            <w:shd w:val="clear" w:color="auto" w:fill="098C44"/>
          </w:tcPr>
          <w:p w14:paraId="31CD8AF0" w14:textId="77777777" w:rsidR="003168F8" w:rsidRPr="00662CBC" w:rsidRDefault="003168F8" w:rsidP="006064D6">
            <w:pPr>
              <w:jc w:val="center"/>
              <w:rPr>
                <w:b/>
                <w:bCs/>
                <w:color w:val="FFFFFF" w:themeColor="background1"/>
              </w:rPr>
            </w:pPr>
          </w:p>
        </w:tc>
        <w:tc>
          <w:tcPr>
            <w:tcW w:w="1795" w:type="dxa"/>
            <w:tcBorders>
              <w:top w:val="single" w:sz="4" w:space="0" w:color="FFFFFF" w:themeColor="background1"/>
              <w:left w:val="dotted" w:sz="4" w:space="0" w:color="FFFFFF"/>
              <w:bottom w:val="dotted" w:sz="4" w:space="0" w:color="FFFFFF"/>
              <w:right w:val="dotted" w:sz="4" w:space="0" w:color="FFFFFF"/>
            </w:tcBorders>
            <w:shd w:val="clear" w:color="auto" w:fill="92D050"/>
          </w:tcPr>
          <w:p w14:paraId="3557D97B" w14:textId="77777777" w:rsidR="003168F8" w:rsidRPr="00662CBC" w:rsidRDefault="003168F8" w:rsidP="006064D6">
            <w:pPr>
              <w:jc w:val="center"/>
            </w:pPr>
            <w:r w:rsidRPr="00662CBC">
              <w:rPr>
                <w:b/>
                <w:bCs/>
                <w:color w:val="FFFFFF" w:themeColor="background1"/>
              </w:rPr>
              <w:t>“Equality” in public sector</w:t>
            </w:r>
          </w:p>
        </w:tc>
        <w:tc>
          <w:tcPr>
            <w:tcW w:w="1495" w:type="dxa"/>
            <w:tcBorders>
              <w:top w:val="single" w:sz="4" w:space="0" w:color="FFFFFF" w:themeColor="background1"/>
              <w:left w:val="dotted" w:sz="4" w:space="0" w:color="FFFFFF"/>
              <w:bottom w:val="dotted" w:sz="4" w:space="0" w:color="FFFFFF"/>
              <w:right w:val="threeDEmboss" w:sz="24" w:space="0" w:color="002060"/>
            </w:tcBorders>
            <w:shd w:val="clear" w:color="auto" w:fill="098C44"/>
          </w:tcPr>
          <w:p w14:paraId="063F0852" w14:textId="0C97D670" w:rsidR="003168F8" w:rsidRPr="00662CBC" w:rsidRDefault="003168F8" w:rsidP="006064D6">
            <w:pPr>
              <w:jc w:val="center"/>
            </w:pPr>
            <w:r w:rsidRPr="00662CBC">
              <w:rPr>
                <w:b/>
                <w:bCs/>
                <w:color w:val="FFFFFF" w:themeColor="background1"/>
              </w:rPr>
              <w:t>L</w:t>
            </w:r>
          </w:p>
        </w:tc>
      </w:tr>
      <w:tr w:rsidR="003168F8" w:rsidRPr="00662CBC" w14:paraId="175FF2BB" w14:textId="77777777" w:rsidTr="00F21DC1">
        <w:tc>
          <w:tcPr>
            <w:tcW w:w="426" w:type="dxa"/>
            <w:tcBorders>
              <w:top w:val="dotted" w:sz="4" w:space="0" w:color="FFFFFF"/>
              <w:left w:val="threeDEmboss" w:sz="24" w:space="0" w:color="002060"/>
              <w:bottom w:val="dotted" w:sz="4" w:space="0" w:color="FFFFFF"/>
              <w:right w:val="single" w:sz="4" w:space="0" w:color="FFFFFF" w:themeColor="background1"/>
            </w:tcBorders>
          </w:tcPr>
          <w:p w14:paraId="13519A08"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dotted" w:sz="4" w:space="0" w:color="FFFFFF"/>
              <w:left w:val="single" w:sz="4" w:space="0" w:color="FFFFFF" w:themeColor="background1"/>
              <w:bottom w:val="dotted" w:sz="4" w:space="0" w:color="FFFFFF"/>
              <w:right w:val="dotted" w:sz="4" w:space="0" w:color="FFFFFF"/>
            </w:tcBorders>
          </w:tcPr>
          <w:p w14:paraId="3C8ED5D6" w14:textId="77777777" w:rsidR="003168F8" w:rsidRPr="00662CBC" w:rsidRDefault="003168F8" w:rsidP="006064D6">
            <w:r w:rsidRPr="00662CBC">
              <w:t>Cyprus</w:t>
            </w:r>
          </w:p>
        </w:tc>
        <w:tc>
          <w:tcPr>
            <w:tcW w:w="1111" w:type="dxa"/>
            <w:tcBorders>
              <w:top w:val="single" w:sz="4" w:space="0" w:color="FFFFFF" w:themeColor="background1"/>
              <w:left w:val="dotted" w:sz="4" w:space="0" w:color="FFFFFF"/>
              <w:bottom w:val="dotted" w:sz="4" w:space="0" w:color="FFFFFF"/>
              <w:right w:val="dotted" w:sz="4" w:space="0" w:color="FFFFFF"/>
            </w:tcBorders>
            <w:shd w:val="clear" w:color="auto" w:fill="098C44"/>
          </w:tcPr>
          <w:p w14:paraId="4EAE3DAB" w14:textId="77777777" w:rsidR="003168F8" w:rsidRPr="00662CBC" w:rsidRDefault="003168F8" w:rsidP="006064D6">
            <w:pPr>
              <w:jc w:val="center"/>
              <w:rPr>
                <w:b/>
                <w:bCs/>
                <w:color w:val="FFFFFF" w:themeColor="background1"/>
              </w:rPr>
            </w:pPr>
            <w:r w:rsidRPr="00662CBC">
              <w:rPr>
                <w:b/>
                <w:bCs/>
                <w:color w:val="FFFFFF" w:themeColor="background1"/>
              </w:rPr>
              <w:t>C</w:t>
            </w:r>
          </w:p>
        </w:tc>
        <w:tc>
          <w:tcPr>
            <w:tcW w:w="1561" w:type="dxa"/>
            <w:tcBorders>
              <w:top w:val="dotted" w:sz="4" w:space="0" w:color="FFFFFF"/>
              <w:left w:val="dotted" w:sz="4" w:space="0" w:color="FFFFFF"/>
              <w:bottom w:val="dotted" w:sz="4" w:space="0" w:color="FFFFFF"/>
              <w:right w:val="dotted" w:sz="4" w:space="0" w:color="FFFFFF"/>
            </w:tcBorders>
            <w:shd w:val="clear" w:color="auto" w:fill="C00000"/>
          </w:tcPr>
          <w:p w14:paraId="0D80BB8A" w14:textId="77777777" w:rsidR="003168F8" w:rsidRPr="00662CBC" w:rsidRDefault="003168F8" w:rsidP="006064D6">
            <w:pPr>
              <w:jc w:val="center"/>
              <w:rPr>
                <w:color w:val="FFFFFF" w:themeColor="background1"/>
              </w:rPr>
            </w:pPr>
          </w:p>
        </w:tc>
        <w:tc>
          <w:tcPr>
            <w:tcW w:w="1269" w:type="dxa"/>
            <w:tcBorders>
              <w:top w:val="dotted" w:sz="4" w:space="0" w:color="FFFFFF"/>
              <w:left w:val="dotted" w:sz="4" w:space="0" w:color="FFFFFF"/>
              <w:bottom w:val="dotted" w:sz="4" w:space="0" w:color="FFFFFF"/>
              <w:right w:val="dotted" w:sz="4" w:space="0" w:color="FFFFFF"/>
            </w:tcBorders>
            <w:shd w:val="clear" w:color="auto" w:fill="F2FB93"/>
          </w:tcPr>
          <w:p w14:paraId="1EA75E9F" w14:textId="77777777" w:rsidR="003168F8" w:rsidRPr="00662CBC" w:rsidRDefault="003168F8" w:rsidP="006064D6"/>
        </w:tc>
        <w:tc>
          <w:tcPr>
            <w:tcW w:w="0" w:type="auto"/>
            <w:tcBorders>
              <w:top w:val="dotted" w:sz="4" w:space="0" w:color="FFFFFF"/>
              <w:left w:val="dotted" w:sz="4" w:space="0" w:color="FFFFFF"/>
              <w:bottom w:val="dotted" w:sz="4" w:space="0" w:color="FFFFFF"/>
              <w:right w:val="dotted" w:sz="4" w:space="0" w:color="FFFFFF"/>
            </w:tcBorders>
            <w:shd w:val="clear" w:color="auto" w:fill="C00000"/>
          </w:tcPr>
          <w:p w14:paraId="15E5CA2A" w14:textId="77777777" w:rsidR="003168F8" w:rsidRPr="00662CBC" w:rsidRDefault="003168F8" w:rsidP="006064D6"/>
        </w:tc>
        <w:tc>
          <w:tcPr>
            <w:tcW w:w="1275" w:type="dxa"/>
            <w:tcBorders>
              <w:top w:val="dotted" w:sz="4" w:space="0" w:color="FFFFFF"/>
              <w:left w:val="dotted" w:sz="4" w:space="0" w:color="FFFFFF"/>
              <w:bottom w:val="dotted" w:sz="4" w:space="0" w:color="FFFFFF"/>
              <w:right w:val="dotted" w:sz="4" w:space="0" w:color="FFFFFF"/>
            </w:tcBorders>
            <w:shd w:val="clear" w:color="auto" w:fill="C00000"/>
          </w:tcPr>
          <w:p w14:paraId="2B895CEA" w14:textId="77777777" w:rsidR="003168F8" w:rsidRPr="00662CBC" w:rsidRDefault="003168F8" w:rsidP="006064D6"/>
        </w:tc>
        <w:tc>
          <w:tcPr>
            <w:tcW w:w="1153" w:type="dxa"/>
            <w:tcBorders>
              <w:top w:val="dotted" w:sz="4" w:space="0" w:color="FFFFFF"/>
              <w:left w:val="dotted" w:sz="4" w:space="0" w:color="FFFFFF"/>
              <w:bottom w:val="dotted" w:sz="4" w:space="0" w:color="FFFFFF"/>
              <w:right w:val="dotted" w:sz="4" w:space="0" w:color="FFFFFF"/>
            </w:tcBorders>
            <w:shd w:val="clear" w:color="auto" w:fill="C00000"/>
          </w:tcPr>
          <w:p w14:paraId="4FBE4490" w14:textId="77777777" w:rsidR="003168F8" w:rsidRPr="00662CBC" w:rsidRDefault="003168F8" w:rsidP="006064D6">
            <w:pPr>
              <w:jc w:val="center"/>
            </w:pPr>
          </w:p>
        </w:tc>
        <w:tc>
          <w:tcPr>
            <w:tcW w:w="927" w:type="dxa"/>
            <w:tcBorders>
              <w:top w:val="dotted" w:sz="4" w:space="0" w:color="FFFFFF"/>
              <w:left w:val="dotted" w:sz="4" w:space="0" w:color="FFFFFF"/>
              <w:bottom w:val="dotted" w:sz="4" w:space="0" w:color="FFFFFF"/>
              <w:right w:val="dotted" w:sz="4" w:space="0" w:color="FFFFFF"/>
            </w:tcBorders>
            <w:shd w:val="clear" w:color="auto" w:fill="969696" w:themeFill="accent3"/>
          </w:tcPr>
          <w:p w14:paraId="5159340F" w14:textId="77777777" w:rsidR="003168F8" w:rsidRPr="00662CBC" w:rsidRDefault="003168F8" w:rsidP="006064D6">
            <w:pPr>
              <w:jc w:val="center"/>
            </w:pPr>
          </w:p>
        </w:tc>
        <w:tc>
          <w:tcPr>
            <w:tcW w:w="1270" w:type="dxa"/>
            <w:tcBorders>
              <w:top w:val="dotted" w:sz="4" w:space="0" w:color="FFFFFF"/>
              <w:left w:val="dotted" w:sz="4" w:space="0" w:color="FFFFFF"/>
              <w:bottom w:val="dotted" w:sz="4" w:space="0" w:color="FFFFFF"/>
              <w:right w:val="dotted" w:sz="4" w:space="0" w:color="FFFFFF"/>
            </w:tcBorders>
            <w:shd w:val="clear" w:color="auto" w:fill="098C44"/>
          </w:tcPr>
          <w:p w14:paraId="662F04EE" w14:textId="77777777" w:rsidR="003168F8" w:rsidRPr="00662CBC" w:rsidRDefault="003168F8" w:rsidP="006064D6">
            <w:pPr>
              <w:jc w:val="center"/>
            </w:pPr>
          </w:p>
        </w:tc>
        <w:tc>
          <w:tcPr>
            <w:tcW w:w="1795" w:type="dxa"/>
            <w:tcBorders>
              <w:top w:val="dotted" w:sz="4" w:space="0" w:color="FFFFFF"/>
              <w:left w:val="dotted" w:sz="4" w:space="0" w:color="FFFFFF"/>
              <w:bottom w:val="dotted" w:sz="4" w:space="0" w:color="FFFFFF"/>
              <w:right w:val="dotted" w:sz="4" w:space="0" w:color="FFFFFF"/>
            </w:tcBorders>
            <w:shd w:val="clear" w:color="auto" w:fill="969696" w:themeFill="accent3"/>
          </w:tcPr>
          <w:p w14:paraId="34DD045D" w14:textId="77777777" w:rsidR="003168F8" w:rsidRPr="00662CBC" w:rsidRDefault="003168F8" w:rsidP="006064D6">
            <w:pPr>
              <w:jc w:val="center"/>
            </w:pPr>
          </w:p>
        </w:tc>
        <w:tc>
          <w:tcPr>
            <w:tcW w:w="1495" w:type="dxa"/>
            <w:tcBorders>
              <w:top w:val="dotted" w:sz="4" w:space="0" w:color="FFFFFF"/>
              <w:left w:val="dotted" w:sz="4" w:space="0" w:color="FFFFFF"/>
              <w:bottom w:val="dotted" w:sz="4" w:space="0" w:color="FFFFFF"/>
              <w:right w:val="threeDEmboss" w:sz="24" w:space="0" w:color="002060"/>
            </w:tcBorders>
            <w:shd w:val="horzCross" w:color="098C44" w:fill="auto"/>
          </w:tcPr>
          <w:p w14:paraId="1DFD3ED3" w14:textId="77777777" w:rsidR="003168F8" w:rsidRPr="00662CBC" w:rsidRDefault="003168F8" w:rsidP="006064D6">
            <w:pPr>
              <w:jc w:val="center"/>
            </w:pPr>
            <w:r w:rsidRPr="00662CBC">
              <w:rPr>
                <w:b/>
                <w:bCs/>
                <w:color w:val="FFFFFF" w:themeColor="background1"/>
              </w:rPr>
              <w:t>L - Only broader public sector</w:t>
            </w:r>
          </w:p>
        </w:tc>
      </w:tr>
      <w:tr w:rsidR="003168F8" w:rsidRPr="00662CBC" w14:paraId="1230077A" w14:textId="77777777" w:rsidTr="00C25A59">
        <w:tc>
          <w:tcPr>
            <w:tcW w:w="426" w:type="dxa"/>
            <w:tcBorders>
              <w:top w:val="dotted" w:sz="4" w:space="0" w:color="FFFFFF"/>
              <w:left w:val="threeDEmboss" w:sz="24" w:space="0" w:color="002060"/>
              <w:bottom w:val="dotted" w:sz="4" w:space="0" w:color="FFFFFF"/>
              <w:right w:val="dotted" w:sz="4" w:space="0" w:color="FFFFFF"/>
            </w:tcBorders>
          </w:tcPr>
          <w:p w14:paraId="56EFADC0"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dotted" w:sz="4" w:space="0" w:color="FFFFFF"/>
              <w:left w:val="dotted" w:sz="4" w:space="0" w:color="FFFFFF"/>
              <w:bottom w:val="dotted" w:sz="4" w:space="0" w:color="FFFFFF"/>
              <w:right w:val="dotted" w:sz="4" w:space="0" w:color="FFFFFF"/>
            </w:tcBorders>
          </w:tcPr>
          <w:p w14:paraId="43E972F8" w14:textId="77777777" w:rsidR="003168F8" w:rsidRPr="00662CBC" w:rsidRDefault="003168F8" w:rsidP="006064D6">
            <w:r w:rsidRPr="00662CBC">
              <w:t xml:space="preserve">Czech Republic </w:t>
            </w:r>
          </w:p>
        </w:tc>
        <w:tc>
          <w:tcPr>
            <w:tcW w:w="1111" w:type="dxa"/>
            <w:tcBorders>
              <w:top w:val="dotted" w:sz="4" w:space="0" w:color="FFFFFF"/>
              <w:left w:val="dotted" w:sz="4" w:space="0" w:color="FFFFFF"/>
              <w:bottom w:val="dotted" w:sz="4" w:space="0" w:color="FFFFFF"/>
              <w:right w:val="dotted" w:sz="4" w:space="0" w:color="FFFFFF"/>
            </w:tcBorders>
            <w:shd w:val="clear" w:color="auto" w:fill="C00000"/>
          </w:tcPr>
          <w:p w14:paraId="6DEC7439" w14:textId="77777777" w:rsidR="003168F8" w:rsidRPr="00662CBC" w:rsidRDefault="003168F8" w:rsidP="006064D6">
            <w:pPr>
              <w:jc w:val="center"/>
              <w:rPr>
                <w:color w:val="FFFFFF" w:themeColor="background1"/>
              </w:rPr>
            </w:pPr>
          </w:p>
        </w:tc>
        <w:tc>
          <w:tcPr>
            <w:tcW w:w="1561" w:type="dxa"/>
            <w:tcBorders>
              <w:top w:val="dotted" w:sz="4" w:space="0" w:color="FFFFFF"/>
              <w:left w:val="dotted" w:sz="4" w:space="0" w:color="FFFFFF"/>
              <w:bottom w:val="dotted" w:sz="4" w:space="0" w:color="FFFFFF"/>
              <w:right w:val="dotted" w:sz="4" w:space="0" w:color="FFFFFF"/>
            </w:tcBorders>
            <w:shd w:val="clear" w:color="auto" w:fill="C00000"/>
          </w:tcPr>
          <w:p w14:paraId="2333B0A3" w14:textId="77777777" w:rsidR="003168F8" w:rsidRPr="00662CBC" w:rsidRDefault="003168F8" w:rsidP="006064D6">
            <w:pPr>
              <w:jc w:val="center"/>
              <w:rPr>
                <w:color w:val="FFFFFF" w:themeColor="background1"/>
              </w:rPr>
            </w:pPr>
          </w:p>
        </w:tc>
        <w:tc>
          <w:tcPr>
            <w:tcW w:w="1269" w:type="dxa"/>
            <w:tcBorders>
              <w:top w:val="dotted" w:sz="4" w:space="0" w:color="FFFFFF"/>
              <w:left w:val="dotted" w:sz="4" w:space="0" w:color="FFFFFF"/>
              <w:bottom w:val="dotted" w:sz="4" w:space="0" w:color="FFFFFF"/>
              <w:right w:val="dotted" w:sz="4" w:space="0" w:color="FFFFFF"/>
            </w:tcBorders>
            <w:shd w:val="clear" w:color="auto" w:fill="FB786F"/>
          </w:tcPr>
          <w:p w14:paraId="110C0F7F" w14:textId="77777777" w:rsidR="003168F8" w:rsidRPr="00662CBC" w:rsidRDefault="003168F8" w:rsidP="006064D6"/>
        </w:tc>
        <w:tc>
          <w:tcPr>
            <w:tcW w:w="0" w:type="auto"/>
            <w:tcBorders>
              <w:top w:val="dotted" w:sz="4" w:space="0" w:color="FFFFFF"/>
              <w:left w:val="dotted" w:sz="4" w:space="0" w:color="FFFFFF"/>
              <w:bottom w:val="dotted" w:sz="4" w:space="0" w:color="FFFFFF"/>
              <w:right w:val="dotted" w:sz="4" w:space="0" w:color="FFFFFF"/>
            </w:tcBorders>
            <w:shd w:val="clear" w:color="auto" w:fill="C00000"/>
          </w:tcPr>
          <w:p w14:paraId="16BB2A0B" w14:textId="77777777" w:rsidR="003168F8" w:rsidRPr="00662CBC" w:rsidRDefault="003168F8" w:rsidP="006064D6"/>
        </w:tc>
        <w:tc>
          <w:tcPr>
            <w:tcW w:w="1275" w:type="dxa"/>
            <w:tcBorders>
              <w:top w:val="dotted" w:sz="4" w:space="0" w:color="FFFFFF"/>
              <w:left w:val="dotted" w:sz="4" w:space="0" w:color="FFFFFF"/>
              <w:bottom w:val="dotted" w:sz="4" w:space="0" w:color="FFFFFF"/>
              <w:right w:val="dotted" w:sz="4" w:space="0" w:color="FFFFFF"/>
            </w:tcBorders>
            <w:shd w:val="clear" w:color="auto" w:fill="C00000"/>
          </w:tcPr>
          <w:p w14:paraId="2548B699" w14:textId="77777777" w:rsidR="003168F8" w:rsidRPr="00662CBC" w:rsidRDefault="003168F8" w:rsidP="006064D6"/>
        </w:tc>
        <w:tc>
          <w:tcPr>
            <w:tcW w:w="1153" w:type="dxa"/>
            <w:tcBorders>
              <w:top w:val="dotted" w:sz="4" w:space="0" w:color="FFFFFF"/>
              <w:left w:val="dotted" w:sz="4" w:space="0" w:color="FFFFFF"/>
              <w:bottom w:val="dotted" w:sz="4" w:space="0" w:color="FFFFFF"/>
              <w:right w:val="dotted" w:sz="4" w:space="0" w:color="FFFFFF"/>
            </w:tcBorders>
            <w:shd w:val="clear" w:color="auto" w:fill="C00000"/>
          </w:tcPr>
          <w:p w14:paraId="7191D3CF" w14:textId="77777777" w:rsidR="003168F8" w:rsidRPr="00662CBC" w:rsidRDefault="003168F8" w:rsidP="006064D6">
            <w:pPr>
              <w:jc w:val="center"/>
            </w:pPr>
          </w:p>
        </w:tc>
        <w:tc>
          <w:tcPr>
            <w:tcW w:w="927" w:type="dxa"/>
            <w:tcBorders>
              <w:top w:val="dotted" w:sz="4" w:space="0" w:color="FFFFFF"/>
              <w:left w:val="dotted" w:sz="4" w:space="0" w:color="FFFFFF"/>
              <w:bottom w:val="dotted" w:sz="4" w:space="0" w:color="FFFFFF"/>
              <w:right w:val="dotted" w:sz="4" w:space="0" w:color="FFFFFF"/>
            </w:tcBorders>
            <w:shd w:val="clear" w:color="auto" w:fill="C00000"/>
          </w:tcPr>
          <w:p w14:paraId="0277B04D" w14:textId="77777777" w:rsidR="003168F8" w:rsidRPr="00662CBC" w:rsidRDefault="003168F8" w:rsidP="006064D6">
            <w:pPr>
              <w:jc w:val="center"/>
            </w:pPr>
          </w:p>
        </w:tc>
        <w:tc>
          <w:tcPr>
            <w:tcW w:w="1270" w:type="dxa"/>
            <w:tcBorders>
              <w:top w:val="dotted" w:sz="4" w:space="0" w:color="FFFFFF"/>
              <w:left w:val="dotted" w:sz="4" w:space="0" w:color="FFFFFF"/>
              <w:bottom w:val="dotted" w:sz="4" w:space="0" w:color="FFFFFF"/>
              <w:right w:val="dotted" w:sz="4" w:space="0" w:color="FFFFFF"/>
            </w:tcBorders>
            <w:shd w:val="clear" w:color="auto" w:fill="098C44"/>
          </w:tcPr>
          <w:p w14:paraId="44B33671" w14:textId="77777777" w:rsidR="003168F8" w:rsidRPr="00662CBC" w:rsidRDefault="003168F8" w:rsidP="006064D6">
            <w:pPr>
              <w:jc w:val="center"/>
            </w:pPr>
          </w:p>
        </w:tc>
        <w:tc>
          <w:tcPr>
            <w:tcW w:w="1795" w:type="dxa"/>
            <w:tcBorders>
              <w:top w:val="dotted" w:sz="4" w:space="0" w:color="FFFFFF"/>
              <w:left w:val="dotted" w:sz="4" w:space="0" w:color="FFFFFF"/>
              <w:bottom w:val="dotted" w:sz="4" w:space="0" w:color="FFFFFF"/>
              <w:right w:val="dotted" w:sz="4" w:space="0" w:color="FFFFFF"/>
            </w:tcBorders>
            <w:shd w:val="clear" w:color="auto" w:fill="969696" w:themeFill="accent3"/>
          </w:tcPr>
          <w:p w14:paraId="2A3C56EF" w14:textId="77777777" w:rsidR="003168F8" w:rsidRPr="00662CBC" w:rsidRDefault="003168F8" w:rsidP="006064D6">
            <w:pPr>
              <w:jc w:val="center"/>
            </w:pPr>
          </w:p>
        </w:tc>
        <w:tc>
          <w:tcPr>
            <w:tcW w:w="1495" w:type="dxa"/>
            <w:tcBorders>
              <w:top w:val="dotted" w:sz="4" w:space="0" w:color="FFFFFF"/>
              <w:left w:val="dotted" w:sz="4" w:space="0" w:color="FFFFFF"/>
              <w:bottom w:val="dotted" w:sz="4" w:space="0" w:color="FFFFFF"/>
              <w:right w:val="threeDEmboss" w:sz="24" w:space="0" w:color="002060"/>
            </w:tcBorders>
            <w:shd w:val="clear" w:color="auto" w:fill="098C44"/>
          </w:tcPr>
          <w:p w14:paraId="67DFDD0C" w14:textId="77777777" w:rsidR="003168F8" w:rsidRPr="00662CBC" w:rsidRDefault="003168F8" w:rsidP="006064D6">
            <w:pPr>
              <w:jc w:val="center"/>
            </w:pPr>
            <w:r w:rsidRPr="00662CBC">
              <w:rPr>
                <w:b/>
                <w:bCs/>
                <w:color w:val="FFFFFF" w:themeColor="background1"/>
              </w:rPr>
              <w:t>L</w:t>
            </w:r>
          </w:p>
        </w:tc>
      </w:tr>
      <w:tr w:rsidR="003168F8" w:rsidRPr="00662CBC" w14:paraId="20BD3C7B" w14:textId="77777777" w:rsidTr="00E2254E">
        <w:tc>
          <w:tcPr>
            <w:tcW w:w="426" w:type="dxa"/>
            <w:tcBorders>
              <w:top w:val="dotted" w:sz="4" w:space="0" w:color="FFFFFF"/>
              <w:left w:val="threeDEmboss" w:sz="24" w:space="0" w:color="002060"/>
              <w:bottom w:val="single" w:sz="4" w:space="0" w:color="FFFFFF" w:themeColor="background1"/>
              <w:right w:val="dotted" w:sz="4" w:space="0" w:color="FFFFFF"/>
            </w:tcBorders>
          </w:tcPr>
          <w:p w14:paraId="579B9F4C"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dotted" w:sz="4" w:space="0" w:color="FFFFFF"/>
              <w:left w:val="dotted" w:sz="4" w:space="0" w:color="FFFFFF"/>
              <w:bottom w:val="single" w:sz="4" w:space="0" w:color="FFFFFF" w:themeColor="background1"/>
              <w:right w:val="dotted" w:sz="4" w:space="0" w:color="FFFFFF"/>
            </w:tcBorders>
          </w:tcPr>
          <w:p w14:paraId="083B077F" w14:textId="77777777" w:rsidR="003168F8" w:rsidRPr="00662CBC" w:rsidRDefault="003168F8" w:rsidP="006064D6">
            <w:r w:rsidRPr="00662CBC">
              <w:t>Denmark</w:t>
            </w:r>
          </w:p>
        </w:tc>
        <w:tc>
          <w:tcPr>
            <w:tcW w:w="1111" w:type="dxa"/>
            <w:tcBorders>
              <w:top w:val="dotted" w:sz="4" w:space="0" w:color="FFFFFF"/>
              <w:left w:val="dotted" w:sz="4" w:space="0" w:color="FFFFFF"/>
              <w:bottom w:val="single" w:sz="4" w:space="0" w:color="FFFFFF" w:themeColor="background1"/>
              <w:right w:val="single" w:sz="4" w:space="0" w:color="FFFFFF" w:themeColor="background1"/>
            </w:tcBorders>
            <w:shd w:val="clear" w:color="auto" w:fill="C00000"/>
          </w:tcPr>
          <w:p w14:paraId="5B9B414B" w14:textId="77777777" w:rsidR="003168F8" w:rsidRPr="00662CBC" w:rsidRDefault="003168F8" w:rsidP="006064D6">
            <w:pPr>
              <w:jc w:val="center"/>
              <w:rPr>
                <w:color w:val="FFFFFF" w:themeColor="background1"/>
              </w:rPr>
            </w:pPr>
          </w:p>
        </w:tc>
        <w:tc>
          <w:tcPr>
            <w:tcW w:w="1561" w:type="dxa"/>
            <w:tcBorders>
              <w:top w:val="dotted" w:sz="4" w:space="0" w:color="FFFFFF"/>
              <w:left w:val="single" w:sz="4" w:space="0" w:color="FFFFFF" w:themeColor="background1"/>
              <w:bottom w:val="single" w:sz="4" w:space="0" w:color="FFFFFF" w:themeColor="background1"/>
              <w:right w:val="dotted" w:sz="4" w:space="0" w:color="FFFFFF"/>
            </w:tcBorders>
            <w:shd w:val="clear" w:color="auto" w:fill="C00000"/>
          </w:tcPr>
          <w:p w14:paraId="6E24AFE3" w14:textId="77777777" w:rsidR="003168F8" w:rsidRPr="00662CBC" w:rsidRDefault="003168F8" w:rsidP="006064D6">
            <w:pPr>
              <w:jc w:val="center"/>
              <w:rPr>
                <w:color w:val="FFFFFF" w:themeColor="background1"/>
              </w:rPr>
            </w:pPr>
          </w:p>
        </w:tc>
        <w:tc>
          <w:tcPr>
            <w:tcW w:w="1269" w:type="dxa"/>
            <w:tcBorders>
              <w:top w:val="dotted" w:sz="4" w:space="0" w:color="FFFFFF"/>
              <w:left w:val="dotted" w:sz="4" w:space="0" w:color="FFFFFF"/>
              <w:bottom w:val="single" w:sz="4" w:space="0" w:color="FFFFFF" w:themeColor="background1"/>
              <w:right w:val="single" w:sz="4" w:space="0" w:color="FFFFFF" w:themeColor="background1"/>
            </w:tcBorders>
            <w:shd w:val="clear" w:color="auto" w:fill="FB786F"/>
          </w:tcPr>
          <w:p w14:paraId="107C88E9" w14:textId="77777777" w:rsidR="003168F8" w:rsidRPr="00662CBC" w:rsidRDefault="003168F8" w:rsidP="006064D6"/>
        </w:tc>
        <w:tc>
          <w:tcPr>
            <w:tcW w:w="0" w:type="auto"/>
            <w:tcBorders>
              <w:top w:val="dotted" w:sz="4" w:space="0" w:color="FFFFFF"/>
              <w:left w:val="single" w:sz="4" w:space="0" w:color="FFFFFF" w:themeColor="background1"/>
              <w:bottom w:val="single" w:sz="4" w:space="0" w:color="FFFFFF" w:themeColor="background1"/>
              <w:right w:val="dotted" w:sz="4" w:space="0" w:color="FFFFFF"/>
            </w:tcBorders>
            <w:shd w:val="clear" w:color="auto" w:fill="C00000"/>
          </w:tcPr>
          <w:p w14:paraId="149D066C" w14:textId="77777777" w:rsidR="003168F8" w:rsidRPr="00662CBC" w:rsidRDefault="003168F8" w:rsidP="006064D6"/>
        </w:tc>
        <w:tc>
          <w:tcPr>
            <w:tcW w:w="1275" w:type="dxa"/>
            <w:tcBorders>
              <w:top w:val="dotted" w:sz="4" w:space="0" w:color="FFFFFF"/>
              <w:left w:val="dotted" w:sz="4" w:space="0" w:color="FFFFFF"/>
              <w:bottom w:val="single" w:sz="4" w:space="0" w:color="FFFFFF" w:themeColor="background1"/>
              <w:right w:val="dotted" w:sz="4" w:space="0" w:color="FFFFFF"/>
            </w:tcBorders>
            <w:shd w:val="clear" w:color="auto" w:fill="098C44"/>
          </w:tcPr>
          <w:p w14:paraId="670C246A" w14:textId="77777777" w:rsidR="003168F8" w:rsidRPr="00662CBC" w:rsidRDefault="003168F8" w:rsidP="006064D6">
            <w:pPr>
              <w:jc w:val="center"/>
            </w:pPr>
            <w:r w:rsidRPr="00662CBC">
              <w:rPr>
                <w:b/>
                <w:bCs/>
                <w:color w:val="FFFFFF" w:themeColor="background1"/>
              </w:rPr>
              <w:t>L</w:t>
            </w:r>
          </w:p>
        </w:tc>
        <w:tc>
          <w:tcPr>
            <w:tcW w:w="1153" w:type="dxa"/>
            <w:tcBorders>
              <w:top w:val="dotted" w:sz="4" w:space="0" w:color="FFFFFF"/>
              <w:left w:val="dotted" w:sz="4" w:space="0" w:color="FFFFFF"/>
              <w:bottom w:val="single" w:sz="4" w:space="0" w:color="FFFFFF" w:themeColor="background1"/>
              <w:right w:val="dotted" w:sz="4" w:space="0" w:color="FFFFFF"/>
            </w:tcBorders>
            <w:shd w:val="clear" w:color="auto" w:fill="00B0F0"/>
          </w:tcPr>
          <w:p w14:paraId="57DDE5C6" w14:textId="0C01CA04" w:rsidR="003168F8" w:rsidRPr="00662CBC" w:rsidRDefault="00E2254E" w:rsidP="006064D6">
            <w:pPr>
              <w:jc w:val="center"/>
              <w:rPr>
                <w:b/>
                <w:bCs/>
                <w:color w:val="FFFFFF" w:themeColor="background1"/>
              </w:rPr>
            </w:pPr>
            <w:r>
              <w:rPr>
                <w:b/>
                <w:bCs/>
                <w:color w:val="FFFFFF" w:themeColor="background1"/>
              </w:rPr>
              <w:t>L</w:t>
            </w:r>
          </w:p>
        </w:tc>
        <w:tc>
          <w:tcPr>
            <w:tcW w:w="927" w:type="dxa"/>
            <w:tcBorders>
              <w:top w:val="dotted" w:sz="4" w:space="0" w:color="FFFFFF"/>
              <w:left w:val="dotted" w:sz="4" w:space="0" w:color="FFFFFF"/>
              <w:bottom w:val="single" w:sz="4" w:space="0" w:color="FFFFFF" w:themeColor="background1"/>
              <w:right w:val="dotted" w:sz="4" w:space="0" w:color="FFFFFF"/>
            </w:tcBorders>
            <w:shd w:val="clear" w:color="auto" w:fill="C00000"/>
          </w:tcPr>
          <w:p w14:paraId="76C4D303" w14:textId="77777777" w:rsidR="003168F8" w:rsidRPr="00662CBC" w:rsidRDefault="003168F8" w:rsidP="006064D6">
            <w:pPr>
              <w:jc w:val="center"/>
              <w:rPr>
                <w:b/>
                <w:bCs/>
                <w:color w:val="FFFFFF" w:themeColor="background1"/>
              </w:rPr>
            </w:pPr>
          </w:p>
        </w:tc>
        <w:tc>
          <w:tcPr>
            <w:tcW w:w="1270" w:type="dxa"/>
            <w:tcBorders>
              <w:top w:val="dotted" w:sz="4" w:space="0" w:color="FFFFFF"/>
              <w:left w:val="dotted" w:sz="4" w:space="0" w:color="FFFFFF"/>
              <w:bottom w:val="single" w:sz="4" w:space="0" w:color="FFFFFF" w:themeColor="background1"/>
              <w:right w:val="dotted" w:sz="4" w:space="0" w:color="FFFFFF"/>
            </w:tcBorders>
            <w:shd w:val="clear" w:color="auto" w:fill="098C44"/>
          </w:tcPr>
          <w:p w14:paraId="77E0247B" w14:textId="77777777" w:rsidR="003168F8" w:rsidRPr="00662CBC" w:rsidRDefault="003168F8" w:rsidP="006064D6">
            <w:pPr>
              <w:jc w:val="center"/>
              <w:rPr>
                <w:b/>
                <w:bCs/>
                <w:color w:val="FFFFFF" w:themeColor="background1"/>
              </w:rPr>
            </w:pPr>
          </w:p>
        </w:tc>
        <w:tc>
          <w:tcPr>
            <w:tcW w:w="1795" w:type="dxa"/>
            <w:tcBorders>
              <w:top w:val="dotted" w:sz="4" w:space="0" w:color="FFFFFF"/>
              <w:left w:val="dotted" w:sz="4" w:space="0" w:color="FFFFFF"/>
              <w:bottom w:val="single" w:sz="4" w:space="0" w:color="FFFFFF" w:themeColor="background1"/>
              <w:right w:val="dotted" w:sz="4" w:space="0" w:color="FFFFFF"/>
            </w:tcBorders>
            <w:shd w:val="clear" w:color="auto" w:fill="098C44"/>
          </w:tcPr>
          <w:p w14:paraId="6CE46F67" w14:textId="77777777" w:rsidR="003168F8" w:rsidRPr="00662CBC" w:rsidRDefault="003168F8" w:rsidP="006064D6">
            <w:pPr>
              <w:jc w:val="center"/>
              <w:rPr>
                <w:b/>
                <w:bCs/>
              </w:rPr>
            </w:pPr>
            <w:r w:rsidRPr="00662CBC">
              <w:rPr>
                <w:b/>
                <w:bCs/>
                <w:color w:val="FFFFFF" w:themeColor="background1"/>
              </w:rPr>
              <w:t>Public authorities</w:t>
            </w:r>
          </w:p>
        </w:tc>
        <w:tc>
          <w:tcPr>
            <w:tcW w:w="1495" w:type="dxa"/>
            <w:tcBorders>
              <w:top w:val="dotted" w:sz="4" w:space="0" w:color="FFFFFF"/>
              <w:left w:val="dotted" w:sz="4" w:space="0" w:color="FFFFFF"/>
              <w:bottom w:val="single" w:sz="4" w:space="0" w:color="FFFFFF" w:themeColor="background1"/>
              <w:right w:val="threeDEmboss" w:sz="24" w:space="0" w:color="002060"/>
            </w:tcBorders>
            <w:shd w:val="clear" w:color="auto" w:fill="C00000"/>
          </w:tcPr>
          <w:p w14:paraId="1292B1D7" w14:textId="77777777" w:rsidR="003168F8" w:rsidRPr="00662CBC" w:rsidRDefault="003168F8" w:rsidP="006064D6">
            <w:pPr>
              <w:jc w:val="center"/>
            </w:pPr>
          </w:p>
        </w:tc>
      </w:tr>
      <w:tr w:rsidR="003168F8" w:rsidRPr="00662CBC" w14:paraId="6FEED92B" w14:textId="77777777" w:rsidTr="00D80D9D">
        <w:tc>
          <w:tcPr>
            <w:tcW w:w="426" w:type="dxa"/>
            <w:tcBorders>
              <w:top w:val="single" w:sz="4" w:space="0" w:color="FFFFFF" w:themeColor="background1"/>
              <w:left w:val="threeDEmboss" w:sz="24" w:space="0" w:color="002060"/>
              <w:bottom w:val="single" w:sz="4" w:space="0" w:color="FFFFFF" w:themeColor="background1"/>
              <w:right w:val="single" w:sz="4" w:space="0" w:color="FFFFFF" w:themeColor="background1"/>
            </w:tcBorders>
          </w:tcPr>
          <w:p w14:paraId="16C5F714"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A47D2D" w14:textId="77777777" w:rsidR="003168F8" w:rsidRPr="00662CBC" w:rsidRDefault="003168F8" w:rsidP="006064D6">
            <w:r w:rsidRPr="00662CBC">
              <w:t xml:space="preserve">Estonia </w:t>
            </w:r>
          </w:p>
        </w:tc>
        <w:tc>
          <w:tcPr>
            <w:tcW w:w="1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1863090F" w14:textId="77777777" w:rsidR="003168F8" w:rsidRPr="00662CBC" w:rsidRDefault="003168F8" w:rsidP="006064D6">
            <w:pPr>
              <w:jc w:val="center"/>
              <w:rPr>
                <w:color w:val="FFFFFF" w:themeColor="background1"/>
              </w:rPr>
            </w:pPr>
          </w:p>
        </w:tc>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2A5F3288" w14:textId="77777777" w:rsidR="003168F8" w:rsidRPr="00662CBC" w:rsidRDefault="003168F8" w:rsidP="006064D6">
            <w:pPr>
              <w:jc w:val="center"/>
              <w:rPr>
                <w:color w:val="FFFFFF" w:themeColor="background1"/>
              </w:rPr>
            </w:pP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786F"/>
          </w:tcPr>
          <w:p w14:paraId="21225A15" w14:textId="77777777" w:rsidR="003168F8" w:rsidRPr="00662CBC" w:rsidRDefault="003168F8" w:rsidP="006064D6"/>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3DE6A6D4" w14:textId="77777777" w:rsidR="003168F8" w:rsidRPr="00662CBC" w:rsidRDefault="003168F8" w:rsidP="006064D6"/>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tcPr>
          <w:p w14:paraId="549AECA1" w14:textId="77777777" w:rsidR="003168F8" w:rsidRPr="00662CBC" w:rsidRDefault="003168F8" w:rsidP="006064D6">
            <w:pPr>
              <w:jc w:val="center"/>
              <w:rPr>
                <w:b/>
                <w:bCs/>
              </w:rPr>
            </w:pPr>
            <w:r w:rsidRPr="00662CBC">
              <w:rPr>
                <w:b/>
                <w:bCs/>
                <w:color w:val="FFFFFF" w:themeColor="background1"/>
              </w:rPr>
              <w:t>L- Vacant posts must be filled with the minority sex</w:t>
            </w:r>
          </w:p>
        </w:tc>
        <w:tc>
          <w:tcPr>
            <w:tcW w:w="11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5674BF9E" w14:textId="77777777" w:rsidR="003168F8" w:rsidRPr="00662CBC" w:rsidRDefault="003168F8" w:rsidP="006064D6">
            <w:pPr>
              <w:jc w:val="center"/>
            </w:pPr>
          </w:p>
        </w:tc>
        <w:tc>
          <w:tcPr>
            <w:tcW w:w="9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57E7F626" w14:textId="77777777" w:rsidR="003168F8" w:rsidRPr="00662CBC" w:rsidRDefault="003168F8" w:rsidP="006064D6">
            <w:pPr>
              <w:jc w:val="center"/>
            </w:pPr>
          </w:p>
        </w:tc>
        <w:tc>
          <w:tcPr>
            <w:tcW w:w="1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98C44"/>
          </w:tcPr>
          <w:p w14:paraId="78DB0344" w14:textId="77777777" w:rsidR="003168F8" w:rsidRPr="00662CBC" w:rsidRDefault="003168F8" w:rsidP="006064D6">
            <w:pPr>
              <w:jc w:val="center"/>
            </w:pPr>
          </w:p>
        </w:tc>
        <w:tc>
          <w:tcPr>
            <w:tcW w:w="1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9696" w:themeFill="accent3"/>
          </w:tcPr>
          <w:p w14:paraId="05194463" w14:textId="77777777" w:rsidR="003168F8" w:rsidRPr="00662CBC" w:rsidRDefault="003168F8" w:rsidP="006064D6">
            <w:pPr>
              <w:jc w:val="center"/>
            </w:pPr>
          </w:p>
        </w:tc>
        <w:tc>
          <w:tcPr>
            <w:tcW w:w="1495" w:type="dxa"/>
            <w:tcBorders>
              <w:top w:val="single" w:sz="4" w:space="0" w:color="FFFFFF" w:themeColor="background1"/>
              <w:left w:val="single" w:sz="4" w:space="0" w:color="FFFFFF" w:themeColor="background1"/>
              <w:bottom w:val="single" w:sz="4" w:space="0" w:color="FFFFFF" w:themeColor="background1"/>
              <w:right w:val="threeDEmboss" w:sz="24" w:space="0" w:color="002060"/>
            </w:tcBorders>
            <w:shd w:val="clear" w:color="auto" w:fill="C00000"/>
          </w:tcPr>
          <w:p w14:paraId="35614708" w14:textId="77777777" w:rsidR="003168F8" w:rsidRPr="00662CBC" w:rsidRDefault="003168F8" w:rsidP="006064D6">
            <w:pPr>
              <w:jc w:val="center"/>
            </w:pPr>
          </w:p>
        </w:tc>
      </w:tr>
      <w:tr w:rsidR="003168F8" w:rsidRPr="00662CBC" w14:paraId="6BE8E326" w14:textId="77777777" w:rsidTr="00E246E0">
        <w:tc>
          <w:tcPr>
            <w:tcW w:w="426" w:type="dxa"/>
            <w:tcBorders>
              <w:top w:val="single" w:sz="4" w:space="0" w:color="FFFFFF" w:themeColor="background1"/>
              <w:left w:val="threeDEmboss" w:sz="24" w:space="0" w:color="002060"/>
              <w:bottom w:val="single" w:sz="4" w:space="0" w:color="FFFFFF" w:themeColor="background1"/>
              <w:right w:val="single" w:sz="4" w:space="0" w:color="FFFFFF" w:themeColor="background1"/>
            </w:tcBorders>
          </w:tcPr>
          <w:p w14:paraId="390E299A"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5ED0D5" w14:textId="77777777" w:rsidR="003168F8" w:rsidRPr="00662CBC" w:rsidRDefault="003168F8" w:rsidP="006064D6">
            <w:r w:rsidRPr="00662CBC">
              <w:t>Finland</w:t>
            </w:r>
          </w:p>
        </w:tc>
        <w:tc>
          <w:tcPr>
            <w:tcW w:w="1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237E7E0E" w14:textId="77777777" w:rsidR="003168F8" w:rsidRPr="00662CBC" w:rsidRDefault="003168F8" w:rsidP="006064D6">
            <w:pPr>
              <w:jc w:val="center"/>
              <w:rPr>
                <w:color w:val="FFFFFF" w:themeColor="background1"/>
              </w:rPr>
            </w:pPr>
          </w:p>
        </w:tc>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46B6B088" w14:textId="77777777" w:rsidR="003168F8" w:rsidRPr="00662CBC" w:rsidRDefault="003168F8" w:rsidP="006064D6">
            <w:pPr>
              <w:jc w:val="center"/>
              <w:rPr>
                <w:color w:val="FFFFFF" w:themeColor="background1"/>
              </w:rPr>
            </w:pP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786F"/>
          </w:tcPr>
          <w:p w14:paraId="699F3C40" w14:textId="77777777" w:rsidR="003168F8" w:rsidRPr="00662CBC" w:rsidRDefault="003168F8" w:rsidP="006064D6"/>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1CD76434" w14:textId="77777777" w:rsidR="003168F8" w:rsidRPr="00662CBC" w:rsidRDefault="003168F8" w:rsidP="006064D6"/>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0E2BE986" w14:textId="77777777" w:rsidR="003168F8" w:rsidRPr="00662CBC" w:rsidRDefault="003168F8" w:rsidP="006064D6"/>
        </w:tc>
        <w:tc>
          <w:tcPr>
            <w:tcW w:w="11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45AA69DC" w14:textId="77777777" w:rsidR="003168F8" w:rsidRPr="00662CBC" w:rsidRDefault="003168F8" w:rsidP="006064D6">
            <w:pPr>
              <w:jc w:val="center"/>
              <w:rPr>
                <w:b/>
                <w:bCs/>
                <w:color w:val="FFFFFF" w:themeColor="background1"/>
              </w:rPr>
            </w:pPr>
          </w:p>
        </w:tc>
        <w:tc>
          <w:tcPr>
            <w:tcW w:w="9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35ABEEE5" w14:textId="77777777" w:rsidR="003168F8" w:rsidRPr="00662CBC" w:rsidRDefault="003168F8" w:rsidP="006064D6">
            <w:pPr>
              <w:jc w:val="center"/>
              <w:rPr>
                <w:b/>
                <w:bCs/>
                <w:color w:val="FFFFFF" w:themeColor="background1"/>
              </w:rPr>
            </w:pPr>
          </w:p>
        </w:tc>
        <w:tc>
          <w:tcPr>
            <w:tcW w:w="1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98C44"/>
          </w:tcPr>
          <w:p w14:paraId="1FF89618" w14:textId="77777777" w:rsidR="003168F8" w:rsidRPr="00662CBC" w:rsidRDefault="003168F8" w:rsidP="006064D6">
            <w:pPr>
              <w:jc w:val="center"/>
              <w:rPr>
                <w:b/>
                <w:bCs/>
                <w:color w:val="FFFFFF" w:themeColor="background1"/>
              </w:rPr>
            </w:pPr>
          </w:p>
        </w:tc>
        <w:tc>
          <w:tcPr>
            <w:tcW w:w="1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98C44"/>
          </w:tcPr>
          <w:p w14:paraId="1EA2D476" w14:textId="77777777" w:rsidR="003168F8" w:rsidRPr="00662CBC" w:rsidRDefault="003168F8" w:rsidP="006064D6">
            <w:pPr>
              <w:jc w:val="center"/>
              <w:rPr>
                <w:b/>
                <w:bCs/>
              </w:rPr>
            </w:pPr>
            <w:r w:rsidRPr="00662CBC">
              <w:rPr>
                <w:b/>
                <w:bCs/>
                <w:color w:val="FFFFFF" w:themeColor="background1"/>
              </w:rPr>
              <w:t>Public administration</w:t>
            </w:r>
          </w:p>
        </w:tc>
        <w:tc>
          <w:tcPr>
            <w:tcW w:w="1495" w:type="dxa"/>
            <w:tcBorders>
              <w:top w:val="single" w:sz="4" w:space="0" w:color="FFFFFF" w:themeColor="background1"/>
              <w:left w:val="single" w:sz="4" w:space="0" w:color="FFFFFF" w:themeColor="background1"/>
              <w:bottom w:val="single" w:sz="4" w:space="0" w:color="FFFFFF" w:themeColor="background1"/>
              <w:right w:val="threeDEmboss" w:sz="24" w:space="0" w:color="002060"/>
            </w:tcBorders>
            <w:shd w:val="clear" w:color="auto" w:fill="C00000"/>
          </w:tcPr>
          <w:p w14:paraId="67BD801E" w14:textId="77777777" w:rsidR="003168F8" w:rsidRPr="00662CBC" w:rsidRDefault="003168F8" w:rsidP="006064D6">
            <w:pPr>
              <w:jc w:val="center"/>
            </w:pPr>
          </w:p>
        </w:tc>
      </w:tr>
      <w:tr w:rsidR="003168F8" w:rsidRPr="00662CBC" w14:paraId="6E3E241C" w14:textId="77777777" w:rsidTr="005F5896">
        <w:tc>
          <w:tcPr>
            <w:tcW w:w="426" w:type="dxa"/>
            <w:tcBorders>
              <w:top w:val="single" w:sz="4" w:space="0" w:color="FFFFFF" w:themeColor="background1"/>
              <w:left w:val="threeDEmboss" w:sz="24" w:space="0" w:color="002060"/>
              <w:bottom w:val="threeDEmboss" w:sz="24" w:space="0" w:color="002060"/>
              <w:right w:val="single" w:sz="4" w:space="0" w:color="FFFFFF" w:themeColor="background1"/>
            </w:tcBorders>
          </w:tcPr>
          <w:p w14:paraId="605F2A5B"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single" w:sz="4" w:space="0" w:color="FFFFFF" w:themeColor="background1"/>
              <w:left w:val="single" w:sz="4" w:space="0" w:color="FFFFFF" w:themeColor="background1"/>
              <w:bottom w:val="threeDEmboss" w:sz="24" w:space="0" w:color="002060"/>
              <w:right w:val="single" w:sz="4" w:space="0" w:color="FFFFFF" w:themeColor="background1"/>
            </w:tcBorders>
          </w:tcPr>
          <w:p w14:paraId="3DE8C125" w14:textId="77777777" w:rsidR="003168F8" w:rsidRPr="00662CBC" w:rsidRDefault="003168F8" w:rsidP="006064D6">
            <w:pPr>
              <w:jc w:val="left"/>
            </w:pPr>
            <w:r w:rsidRPr="00662CBC">
              <w:t>France</w:t>
            </w:r>
          </w:p>
        </w:tc>
        <w:tc>
          <w:tcPr>
            <w:tcW w:w="1111" w:type="dxa"/>
            <w:tcBorders>
              <w:top w:val="single" w:sz="4" w:space="0" w:color="FFFFFF" w:themeColor="background1"/>
              <w:left w:val="single" w:sz="4" w:space="0" w:color="FFFFFF" w:themeColor="background1"/>
              <w:bottom w:val="threeDEmboss" w:sz="24" w:space="0" w:color="002060"/>
              <w:right w:val="single" w:sz="4" w:space="0" w:color="FFFFFF" w:themeColor="background1"/>
            </w:tcBorders>
            <w:shd w:val="clear" w:color="auto" w:fill="C00000"/>
          </w:tcPr>
          <w:p w14:paraId="25468B59" w14:textId="77777777" w:rsidR="003168F8" w:rsidRPr="00662CBC" w:rsidRDefault="003168F8" w:rsidP="006064D6">
            <w:pPr>
              <w:jc w:val="center"/>
              <w:rPr>
                <w:color w:val="FFFFFF" w:themeColor="background1"/>
              </w:rPr>
            </w:pPr>
          </w:p>
        </w:tc>
        <w:tc>
          <w:tcPr>
            <w:tcW w:w="1561" w:type="dxa"/>
            <w:tcBorders>
              <w:top w:val="single" w:sz="4" w:space="0" w:color="FFFFFF" w:themeColor="background1"/>
              <w:left w:val="single" w:sz="4" w:space="0" w:color="FFFFFF" w:themeColor="background1"/>
              <w:bottom w:val="threeDEmboss" w:sz="24" w:space="0" w:color="002060"/>
              <w:right w:val="single" w:sz="4" w:space="0" w:color="FFFFFF" w:themeColor="background1"/>
            </w:tcBorders>
            <w:shd w:val="clear" w:color="auto" w:fill="098C44"/>
          </w:tcPr>
          <w:p w14:paraId="1E5CA62F" w14:textId="77777777" w:rsidR="003168F8" w:rsidRPr="00662CBC" w:rsidRDefault="003168F8" w:rsidP="006064D6">
            <w:pPr>
              <w:jc w:val="center"/>
              <w:rPr>
                <w:color w:val="FFFFFF" w:themeColor="background1"/>
              </w:rPr>
            </w:pPr>
            <w:r w:rsidRPr="00662CBC">
              <w:rPr>
                <w:b/>
                <w:bCs/>
                <w:color w:val="FFFFFF" w:themeColor="background1"/>
              </w:rPr>
              <w:t>C+L</w:t>
            </w:r>
          </w:p>
        </w:tc>
        <w:tc>
          <w:tcPr>
            <w:tcW w:w="1269" w:type="dxa"/>
            <w:tcBorders>
              <w:top w:val="single" w:sz="4" w:space="0" w:color="FFFFFF" w:themeColor="background1"/>
              <w:left w:val="single" w:sz="4" w:space="0" w:color="FFFFFF" w:themeColor="background1"/>
              <w:bottom w:val="threeDEmboss" w:sz="24" w:space="0" w:color="002060"/>
              <w:right w:val="single" w:sz="4" w:space="0" w:color="FFFFFF" w:themeColor="background1"/>
            </w:tcBorders>
            <w:shd w:val="clear" w:color="auto" w:fill="F2FB93"/>
          </w:tcPr>
          <w:p w14:paraId="63600C2C" w14:textId="77777777" w:rsidR="003168F8" w:rsidRPr="00662CBC" w:rsidRDefault="003168F8" w:rsidP="006064D6">
            <w:pPr>
              <w:jc w:val="center"/>
            </w:pPr>
          </w:p>
        </w:tc>
        <w:tc>
          <w:tcPr>
            <w:tcW w:w="0" w:type="auto"/>
            <w:tcBorders>
              <w:top w:val="single" w:sz="4" w:space="0" w:color="FFFFFF" w:themeColor="background1"/>
              <w:left w:val="single" w:sz="4" w:space="0" w:color="FFFFFF" w:themeColor="background1"/>
              <w:bottom w:val="threeDEmboss" w:sz="24" w:space="0" w:color="002060"/>
              <w:right w:val="single" w:sz="4" w:space="0" w:color="FFFFFF" w:themeColor="background1"/>
            </w:tcBorders>
            <w:shd w:val="clear" w:color="auto" w:fill="098C44"/>
          </w:tcPr>
          <w:p w14:paraId="76BFEF8A" w14:textId="77777777" w:rsidR="003168F8" w:rsidRPr="00662CBC" w:rsidRDefault="003168F8" w:rsidP="006064D6">
            <w:pPr>
              <w:jc w:val="center"/>
            </w:pPr>
            <w:r w:rsidRPr="00662CBC">
              <w:rPr>
                <w:b/>
                <w:bCs/>
                <w:color w:val="FFFFFF" w:themeColor="background1"/>
              </w:rPr>
              <w:t>L</w:t>
            </w:r>
          </w:p>
        </w:tc>
        <w:tc>
          <w:tcPr>
            <w:tcW w:w="1275" w:type="dxa"/>
            <w:tcBorders>
              <w:top w:val="single" w:sz="4" w:space="0" w:color="FFFFFF" w:themeColor="background1"/>
              <w:left w:val="single" w:sz="4" w:space="0" w:color="FFFFFF" w:themeColor="background1"/>
              <w:bottom w:val="threeDEmboss" w:sz="24" w:space="0" w:color="002060"/>
              <w:right w:val="single" w:sz="4" w:space="0" w:color="FFFFFF" w:themeColor="background1"/>
            </w:tcBorders>
            <w:shd w:val="clear" w:color="auto" w:fill="098C44"/>
          </w:tcPr>
          <w:p w14:paraId="3C556F21" w14:textId="77777777" w:rsidR="003168F8" w:rsidRPr="00662CBC" w:rsidRDefault="003168F8" w:rsidP="006064D6">
            <w:pPr>
              <w:jc w:val="center"/>
            </w:pPr>
            <w:r w:rsidRPr="00662CBC">
              <w:rPr>
                <w:b/>
                <w:bCs/>
                <w:color w:val="FFFFFF" w:themeColor="background1"/>
              </w:rPr>
              <w:t>L</w:t>
            </w:r>
          </w:p>
        </w:tc>
        <w:tc>
          <w:tcPr>
            <w:tcW w:w="1153" w:type="dxa"/>
            <w:tcBorders>
              <w:top w:val="single" w:sz="4" w:space="0" w:color="FFFFFF" w:themeColor="background1"/>
              <w:left w:val="single" w:sz="4" w:space="0" w:color="FFFFFF" w:themeColor="background1"/>
              <w:bottom w:val="threeDEmboss" w:sz="24" w:space="0" w:color="002060"/>
              <w:right w:val="single" w:sz="4" w:space="0" w:color="FFFFFF" w:themeColor="background1"/>
            </w:tcBorders>
            <w:shd w:val="clear" w:color="auto" w:fill="098C44"/>
          </w:tcPr>
          <w:p w14:paraId="34951157" w14:textId="5A138CBC" w:rsidR="003168F8" w:rsidRPr="00662CBC" w:rsidRDefault="005F5896" w:rsidP="006064D6">
            <w:pPr>
              <w:jc w:val="center"/>
              <w:rPr>
                <w:b/>
                <w:bCs/>
                <w:color w:val="FFFFFF" w:themeColor="background1"/>
              </w:rPr>
            </w:pPr>
            <w:r>
              <w:rPr>
                <w:b/>
                <w:bCs/>
                <w:color w:val="FFFFFF" w:themeColor="background1"/>
              </w:rPr>
              <w:t>L</w:t>
            </w:r>
          </w:p>
        </w:tc>
        <w:tc>
          <w:tcPr>
            <w:tcW w:w="927" w:type="dxa"/>
            <w:tcBorders>
              <w:top w:val="single" w:sz="4" w:space="0" w:color="FFFFFF" w:themeColor="background1"/>
              <w:left w:val="single" w:sz="4" w:space="0" w:color="FFFFFF" w:themeColor="background1"/>
              <w:bottom w:val="threeDEmboss" w:sz="24" w:space="0" w:color="002060"/>
              <w:right w:val="single" w:sz="4" w:space="0" w:color="FFFFFF" w:themeColor="background1"/>
            </w:tcBorders>
            <w:shd w:val="clear" w:color="auto" w:fill="969696" w:themeFill="accent3"/>
          </w:tcPr>
          <w:p w14:paraId="55C713F7" w14:textId="77777777" w:rsidR="003168F8" w:rsidRPr="00662CBC" w:rsidRDefault="003168F8" w:rsidP="006064D6">
            <w:pPr>
              <w:jc w:val="center"/>
              <w:rPr>
                <w:b/>
                <w:bCs/>
                <w:color w:val="FFFFFF" w:themeColor="background1"/>
              </w:rPr>
            </w:pPr>
          </w:p>
        </w:tc>
        <w:tc>
          <w:tcPr>
            <w:tcW w:w="1270" w:type="dxa"/>
            <w:tcBorders>
              <w:top w:val="single" w:sz="4" w:space="0" w:color="FFFFFF" w:themeColor="background1"/>
              <w:left w:val="single" w:sz="4" w:space="0" w:color="FFFFFF" w:themeColor="background1"/>
              <w:bottom w:val="threeDEmboss" w:sz="24" w:space="0" w:color="002060"/>
              <w:right w:val="single" w:sz="4" w:space="0" w:color="FFFFFF" w:themeColor="background1"/>
            </w:tcBorders>
            <w:shd w:val="clear" w:color="auto" w:fill="098C44"/>
          </w:tcPr>
          <w:p w14:paraId="5155D102" w14:textId="77777777" w:rsidR="003168F8" w:rsidRPr="00662CBC" w:rsidRDefault="003168F8" w:rsidP="006064D6">
            <w:pPr>
              <w:jc w:val="center"/>
              <w:rPr>
                <w:b/>
                <w:bCs/>
                <w:color w:val="FFFFFF" w:themeColor="background1"/>
              </w:rPr>
            </w:pPr>
          </w:p>
        </w:tc>
        <w:tc>
          <w:tcPr>
            <w:tcW w:w="1795" w:type="dxa"/>
            <w:tcBorders>
              <w:top w:val="single" w:sz="4" w:space="0" w:color="FFFFFF" w:themeColor="background1"/>
              <w:left w:val="single" w:sz="4" w:space="0" w:color="FFFFFF" w:themeColor="background1"/>
              <w:bottom w:val="threeDEmboss" w:sz="24" w:space="0" w:color="002060"/>
              <w:right w:val="single" w:sz="4" w:space="0" w:color="FFFFFF" w:themeColor="background1"/>
            </w:tcBorders>
            <w:shd w:val="clear" w:color="auto" w:fill="098C44"/>
          </w:tcPr>
          <w:p w14:paraId="6440113E" w14:textId="77777777" w:rsidR="003168F8" w:rsidRPr="00662CBC" w:rsidRDefault="003168F8" w:rsidP="006064D6">
            <w:pPr>
              <w:jc w:val="center"/>
              <w:rPr>
                <w:b/>
                <w:bCs/>
              </w:rPr>
            </w:pPr>
            <w:r w:rsidRPr="00662CBC">
              <w:rPr>
                <w:b/>
                <w:bCs/>
                <w:color w:val="FFFFFF" w:themeColor="background1"/>
              </w:rPr>
              <w:t>Civil service</w:t>
            </w:r>
          </w:p>
        </w:tc>
        <w:tc>
          <w:tcPr>
            <w:tcW w:w="1495" w:type="dxa"/>
            <w:tcBorders>
              <w:top w:val="single" w:sz="4" w:space="0" w:color="FFFFFF" w:themeColor="background1"/>
              <w:left w:val="single" w:sz="4" w:space="0" w:color="FFFFFF" w:themeColor="background1"/>
              <w:bottom w:val="threeDEmboss" w:sz="24" w:space="0" w:color="002060"/>
              <w:right w:val="threeDEmboss" w:sz="24" w:space="0" w:color="002060"/>
            </w:tcBorders>
            <w:shd w:val="clear" w:color="auto" w:fill="098C44"/>
          </w:tcPr>
          <w:p w14:paraId="08E2575C" w14:textId="77777777" w:rsidR="003168F8" w:rsidRPr="00662CBC" w:rsidRDefault="003168F8" w:rsidP="006064D6">
            <w:pPr>
              <w:jc w:val="center"/>
            </w:pPr>
            <w:r w:rsidRPr="00662CBC">
              <w:rPr>
                <w:b/>
                <w:bCs/>
                <w:color w:val="FFFFFF" w:themeColor="background1"/>
              </w:rPr>
              <w:t>L</w:t>
            </w:r>
          </w:p>
        </w:tc>
      </w:tr>
      <w:tr w:rsidR="003168F8" w:rsidRPr="00662CBC" w14:paraId="22FC892D" w14:textId="77777777" w:rsidTr="003B349D">
        <w:tc>
          <w:tcPr>
            <w:tcW w:w="426" w:type="dxa"/>
            <w:tcBorders>
              <w:top w:val="threeDEmboss" w:sz="24" w:space="0" w:color="002060"/>
              <w:left w:val="single" w:sz="4" w:space="0" w:color="FFFFFF" w:themeColor="background1"/>
              <w:bottom w:val="threeDEmboss" w:sz="24" w:space="0" w:color="002060"/>
              <w:right w:val="single" w:sz="4" w:space="0" w:color="FFFFFF" w:themeColor="background1"/>
            </w:tcBorders>
          </w:tcPr>
          <w:p w14:paraId="60FC2F25"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threeDEmboss" w:sz="24" w:space="0" w:color="002060"/>
              <w:left w:val="single" w:sz="4" w:space="0" w:color="FFFFFF" w:themeColor="background1"/>
              <w:bottom w:val="threeDEmboss" w:sz="24" w:space="0" w:color="002060"/>
              <w:right w:val="single" w:sz="4" w:space="0" w:color="FFFFFF" w:themeColor="background1"/>
            </w:tcBorders>
          </w:tcPr>
          <w:p w14:paraId="45A98AB6" w14:textId="77777777" w:rsidR="003168F8" w:rsidRPr="00662CBC" w:rsidRDefault="003168F8" w:rsidP="006064D6">
            <w:r w:rsidRPr="00662CBC">
              <w:t>Georgia</w:t>
            </w:r>
          </w:p>
        </w:tc>
        <w:tc>
          <w:tcPr>
            <w:tcW w:w="1111" w:type="dxa"/>
            <w:tcBorders>
              <w:top w:val="threeDEmboss" w:sz="24" w:space="0" w:color="002060"/>
              <w:left w:val="single" w:sz="4" w:space="0" w:color="FFFFFF" w:themeColor="background1"/>
              <w:bottom w:val="threeDEmboss" w:sz="24" w:space="0" w:color="002060"/>
              <w:right w:val="single" w:sz="4" w:space="0" w:color="FFFFFF" w:themeColor="background1"/>
            </w:tcBorders>
            <w:shd w:val="clear" w:color="auto" w:fill="C00000"/>
          </w:tcPr>
          <w:p w14:paraId="143B5404" w14:textId="77777777" w:rsidR="003168F8" w:rsidRPr="00662CBC" w:rsidRDefault="003168F8" w:rsidP="006064D6">
            <w:pPr>
              <w:jc w:val="center"/>
              <w:rPr>
                <w:color w:val="FFFFFF" w:themeColor="background1"/>
              </w:rPr>
            </w:pPr>
          </w:p>
        </w:tc>
        <w:tc>
          <w:tcPr>
            <w:tcW w:w="1561" w:type="dxa"/>
            <w:tcBorders>
              <w:top w:val="threeDEmboss" w:sz="24" w:space="0" w:color="002060"/>
              <w:left w:val="single" w:sz="4" w:space="0" w:color="FFFFFF" w:themeColor="background1"/>
              <w:bottom w:val="threeDEmboss" w:sz="24" w:space="0" w:color="002060"/>
              <w:right w:val="single" w:sz="4" w:space="0" w:color="FFFFFF" w:themeColor="background1"/>
            </w:tcBorders>
            <w:shd w:val="clear" w:color="auto" w:fill="098C44"/>
          </w:tcPr>
          <w:p w14:paraId="4312E682" w14:textId="77777777" w:rsidR="003168F8" w:rsidRPr="00662CBC" w:rsidRDefault="003168F8" w:rsidP="006064D6">
            <w:pPr>
              <w:jc w:val="center"/>
              <w:rPr>
                <w:color w:val="FFFFFF" w:themeColor="background1"/>
              </w:rPr>
            </w:pPr>
            <w:r w:rsidRPr="00662CBC">
              <w:rPr>
                <w:b/>
                <w:bCs/>
                <w:color w:val="FFFFFF" w:themeColor="background1"/>
              </w:rPr>
              <w:t>L</w:t>
            </w:r>
          </w:p>
        </w:tc>
        <w:tc>
          <w:tcPr>
            <w:tcW w:w="1269" w:type="dxa"/>
            <w:tcBorders>
              <w:top w:val="threeDEmboss" w:sz="24" w:space="0" w:color="002060"/>
              <w:left w:val="single" w:sz="4" w:space="0" w:color="FFFFFF" w:themeColor="background1"/>
              <w:bottom w:val="threeDEmboss" w:sz="24" w:space="0" w:color="002060"/>
              <w:right w:val="single" w:sz="4" w:space="0" w:color="FFFFFF" w:themeColor="background1"/>
            </w:tcBorders>
            <w:shd w:val="clear" w:color="auto" w:fill="FB786F"/>
          </w:tcPr>
          <w:p w14:paraId="4721E6E3" w14:textId="77777777" w:rsidR="003168F8" w:rsidRPr="00662CBC" w:rsidRDefault="003168F8" w:rsidP="006064D6"/>
        </w:tc>
        <w:tc>
          <w:tcPr>
            <w:tcW w:w="0" w:type="auto"/>
            <w:tcBorders>
              <w:top w:val="threeDEmboss" w:sz="24" w:space="0" w:color="002060"/>
              <w:left w:val="single" w:sz="4" w:space="0" w:color="FFFFFF" w:themeColor="background1"/>
              <w:bottom w:val="threeDEmboss" w:sz="24" w:space="0" w:color="002060"/>
              <w:right w:val="single" w:sz="4" w:space="0" w:color="FFFFFF" w:themeColor="background1"/>
            </w:tcBorders>
            <w:shd w:val="clear" w:color="auto" w:fill="969696" w:themeFill="accent3"/>
          </w:tcPr>
          <w:p w14:paraId="7AA36E40" w14:textId="77777777" w:rsidR="003168F8" w:rsidRPr="00662CBC" w:rsidRDefault="003168F8" w:rsidP="006064D6"/>
        </w:tc>
        <w:tc>
          <w:tcPr>
            <w:tcW w:w="1275" w:type="dxa"/>
            <w:tcBorders>
              <w:top w:val="threeDEmboss" w:sz="24" w:space="0" w:color="002060"/>
              <w:left w:val="single" w:sz="4" w:space="0" w:color="FFFFFF" w:themeColor="background1"/>
              <w:bottom w:val="threeDEmboss" w:sz="24" w:space="0" w:color="002060"/>
              <w:right w:val="single" w:sz="4" w:space="0" w:color="FFFFFF" w:themeColor="background1"/>
            </w:tcBorders>
            <w:shd w:val="clear" w:color="auto" w:fill="969696" w:themeFill="accent3"/>
          </w:tcPr>
          <w:p w14:paraId="6AC97AA5" w14:textId="77777777" w:rsidR="003168F8" w:rsidRPr="00662CBC" w:rsidRDefault="003168F8" w:rsidP="006064D6"/>
        </w:tc>
        <w:tc>
          <w:tcPr>
            <w:tcW w:w="1153" w:type="dxa"/>
            <w:tcBorders>
              <w:top w:val="threeDEmboss" w:sz="24" w:space="0" w:color="002060"/>
              <w:left w:val="single" w:sz="4" w:space="0" w:color="FFFFFF" w:themeColor="background1"/>
              <w:bottom w:val="threeDEmboss" w:sz="24" w:space="0" w:color="002060"/>
              <w:right w:val="single" w:sz="4" w:space="0" w:color="FFFFFF" w:themeColor="background1"/>
            </w:tcBorders>
            <w:shd w:val="clear" w:color="auto" w:fill="969696" w:themeFill="accent3"/>
          </w:tcPr>
          <w:p w14:paraId="4E72ED46" w14:textId="77777777" w:rsidR="003168F8" w:rsidRPr="00662CBC" w:rsidRDefault="003168F8" w:rsidP="006064D6">
            <w:pPr>
              <w:jc w:val="center"/>
            </w:pPr>
          </w:p>
        </w:tc>
        <w:tc>
          <w:tcPr>
            <w:tcW w:w="927" w:type="dxa"/>
            <w:tcBorders>
              <w:top w:val="threeDEmboss" w:sz="24" w:space="0" w:color="002060"/>
              <w:left w:val="single" w:sz="4" w:space="0" w:color="FFFFFF" w:themeColor="background1"/>
              <w:bottom w:val="threeDEmboss" w:sz="24" w:space="0" w:color="002060"/>
              <w:right w:val="single" w:sz="4" w:space="0" w:color="FFFFFF" w:themeColor="background1"/>
            </w:tcBorders>
            <w:shd w:val="clear" w:color="auto" w:fill="969696" w:themeFill="accent3"/>
          </w:tcPr>
          <w:p w14:paraId="2A056E79" w14:textId="77777777" w:rsidR="003168F8" w:rsidRPr="00662CBC" w:rsidRDefault="003168F8" w:rsidP="006064D6">
            <w:pPr>
              <w:jc w:val="center"/>
            </w:pPr>
          </w:p>
        </w:tc>
        <w:tc>
          <w:tcPr>
            <w:tcW w:w="1270" w:type="dxa"/>
            <w:tcBorders>
              <w:top w:val="threeDEmboss" w:sz="24" w:space="0" w:color="002060"/>
              <w:left w:val="single" w:sz="4" w:space="0" w:color="FFFFFF" w:themeColor="background1"/>
              <w:bottom w:val="threeDEmboss" w:sz="24" w:space="0" w:color="002060"/>
              <w:right w:val="single" w:sz="4" w:space="0" w:color="FFFFFF" w:themeColor="background1"/>
            </w:tcBorders>
            <w:shd w:val="clear" w:color="auto" w:fill="098C44"/>
          </w:tcPr>
          <w:p w14:paraId="2D6BDBD8" w14:textId="77777777" w:rsidR="003168F8" w:rsidRPr="00662CBC" w:rsidRDefault="003168F8" w:rsidP="006064D6">
            <w:pPr>
              <w:jc w:val="center"/>
            </w:pPr>
          </w:p>
        </w:tc>
        <w:tc>
          <w:tcPr>
            <w:tcW w:w="1795" w:type="dxa"/>
            <w:tcBorders>
              <w:top w:val="threeDEmboss" w:sz="24" w:space="0" w:color="002060"/>
              <w:left w:val="single" w:sz="4" w:space="0" w:color="FFFFFF" w:themeColor="background1"/>
              <w:bottom w:val="threeDEmboss" w:sz="24" w:space="0" w:color="002060"/>
              <w:right w:val="single" w:sz="4" w:space="0" w:color="FFFFFF" w:themeColor="background1"/>
            </w:tcBorders>
            <w:shd w:val="clear" w:color="auto" w:fill="969696" w:themeFill="accent3"/>
          </w:tcPr>
          <w:p w14:paraId="1DDDB6AD" w14:textId="77777777" w:rsidR="003168F8" w:rsidRPr="00662CBC" w:rsidRDefault="003168F8" w:rsidP="006064D6">
            <w:pPr>
              <w:jc w:val="center"/>
            </w:pPr>
          </w:p>
        </w:tc>
        <w:tc>
          <w:tcPr>
            <w:tcW w:w="1495" w:type="dxa"/>
            <w:tcBorders>
              <w:top w:val="threeDEmboss" w:sz="24" w:space="0" w:color="002060"/>
              <w:left w:val="single" w:sz="4" w:space="0" w:color="FFFFFF" w:themeColor="background1"/>
              <w:bottom w:val="threeDEmboss" w:sz="24" w:space="0" w:color="002060"/>
              <w:right w:val="single" w:sz="4" w:space="0" w:color="FFFFFF" w:themeColor="background1"/>
            </w:tcBorders>
            <w:shd w:val="clear" w:color="auto" w:fill="969696" w:themeFill="accent3"/>
          </w:tcPr>
          <w:p w14:paraId="5DB5D014" w14:textId="77777777" w:rsidR="003168F8" w:rsidRPr="00662CBC" w:rsidRDefault="003168F8" w:rsidP="006064D6">
            <w:pPr>
              <w:jc w:val="center"/>
            </w:pPr>
          </w:p>
        </w:tc>
      </w:tr>
      <w:tr w:rsidR="003168F8" w:rsidRPr="00662CBC" w14:paraId="5D395840" w14:textId="77777777" w:rsidTr="000331EC">
        <w:tc>
          <w:tcPr>
            <w:tcW w:w="426" w:type="dxa"/>
            <w:tcBorders>
              <w:top w:val="threeDEmboss" w:sz="24" w:space="0" w:color="002060"/>
              <w:left w:val="threeDEmboss" w:sz="24" w:space="0" w:color="002060"/>
              <w:bottom w:val="single" w:sz="4" w:space="0" w:color="FFFFFF" w:themeColor="background1"/>
              <w:right w:val="single" w:sz="4" w:space="0" w:color="FFFFFF" w:themeColor="background1"/>
            </w:tcBorders>
          </w:tcPr>
          <w:p w14:paraId="4D274B21"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threeDEmboss" w:sz="24" w:space="0" w:color="002060"/>
              <w:left w:val="single" w:sz="4" w:space="0" w:color="FFFFFF" w:themeColor="background1"/>
              <w:bottom w:val="single" w:sz="4" w:space="0" w:color="FFFFFF" w:themeColor="background1"/>
              <w:right w:val="single" w:sz="4" w:space="0" w:color="FFFFFF" w:themeColor="background1"/>
            </w:tcBorders>
          </w:tcPr>
          <w:p w14:paraId="777A0B46" w14:textId="77777777" w:rsidR="003168F8" w:rsidRPr="00662CBC" w:rsidRDefault="003168F8" w:rsidP="006064D6">
            <w:r w:rsidRPr="00662CBC">
              <w:t xml:space="preserve">Germany </w:t>
            </w:r>
          </w:p>
        </w:tc>
        <w:tc>
          <w:tcPr>
            <w:tcW w:w="1111" w:type="dxa"/>
            <w:tcBorders>
              <w:top w:val="threeDEmboss" w:sz="24" w:space="0" w:color="002060"/>
              <w:left w:val="single" w:sz="4" w:space="0" w:color="FFFFFF" w:themeColor="background1"/>
              <w:bottom w:val="single" w:sz="4" w:space="0" w:color="FFFFFF" w:themeColor="background1"/>
              <w:right w:val="single" w:sz="4" w:space="0" w:color="FFFFFF" w:themeColor="background1"/>
            </w:tcBorders>
            <w:shd w:val="clear" w:color="auto" w:fill="C00000"/>
          </w:tcPr>
          <w:p w14:paraId="200F77EA" w14:textId="77777777" w:rsidR="003168F8" w:rsidRPr="00662CBC" w:rsidRDefault="003168F8" w:rsidP="006064D6">
            <w:pPr>
              <w:jc w:val="center"/>
              <w:rPr>
                <w:color w:val="FFFFFF" w:themeColor="background1"/>
              </w:rPr>
            </w:pPr>
          </w:p>
        </w:tc>
        <w:tc>
          <w:tcPr>
            <w:tcW w:w="1561" w:type="dxa"/>
            <w:tcBorders>
              <w:top w:val="threeDEmboss" w:sz="24" w:space="0" w:color="002060"/>
              <w:left w:val="single" w:sz="4" w:space="0" w:color="FFFFFF" w:themeColor="background1"/>
              <w:bottom w:val="single" w:sz="4" w:space="0" w:color="FFFFFF" w:themeColor="background1"/>
              <w:right w:val="single" w:sz="4" w:space="0" w:color="FFFFFF" w:themeColor="background1"/>
            </w:tcBorders>
            <w:shd w:val="clear" w:color="auto" w:fill="C00000"/>
          </w:tcPr>
          <w:p w14:paraId="0C780CAD" w14:textId="77777777" w:rsidR="003168F8" w:rsidRPr="00662CBC" w:rsidRDefault="003168F8" w:rsidP="006064D6">
            <w:pPr>
              <w:jc w:val="center"/>
              <w:rPr>
                <w:color w:val="FFFFFF" w:themeColor="background1"/>
              </w:rPr>
            </w:pPr>
          </w:p>
        </w:tc>
        <w:tc>
          <w:tcPr>
            <w:tcW w:w="1269" w:type="dxa"/>
            <w:tcBorders>
              <w:top w:val="threeDEmboss" w:sz="24" w:space="0" w:color="002060"/>
              <w:left w:val="single" w:sz="4" w:space="0" w:color="FFFFFF" w:themeColor="background1"/>
              <w:bottom w:val="single" w:sz="4" w:space="0" w:color="FFFFFF" w:themeColor="background1"/>
              <w:right w:val="single" w:sz="4" w:space="0" w:color="FFFFFF" w:themeColor="background1"/>
            </w:tcBorders>
            <w:shd w:val="clear" w:color="auto" w:fill="F2FB93"/>
          </w:tcPr>
          <w:p w14:paraId="748AF2F4" w14:textId="77777777" w:rsidR="003168F8" w:rsidRPr="00662CBC" w:rsidRDefault="003168F8" w:rsidP="006064D6"/>
        </w:tc>
        <w:tc>
          <w:tcPr>
            <w:tcW w:w="0" w:type="auto"/>
            <w:tcBorders>
              <w:top w:val="threeDEmboss" w:sz="24" w:space="0" w:color="002060"/>
              <w:left w:val="single" w:sz="4" w:space="0" w:color="FFFFFF" w:themeColor="background1"/>
              <w:bottom w:val="single" w:sz="4" w:space="0" w:color="FFFFFF"/>
              <w:right w:val="single" w:sz="4" w:space="0" w:color="FFFFFF" w:themeColor="background1"/>
            </w:tcBorders>
            <w:shd w:val="clear" w:color="auto" w:fill="098C44"/>
          </w:tcPr>
          <w:p w14:paraId="11977DFE" w14:textId="77777777" w:rsidR="003168F8" w:rsidRPr="00662CBC" w:rsidRDefault="003168F8" w:rsidP="006064D6">
            <w:pPr>
              <w:jc w:val="center"/>
            </w:pPr>
            <w:r w:rsidRPr="00662CBC">
              <w:rPr>
                <w:b/>
                <w:bCs/>
                <w:color w:val="FFFFFF" w:themeColor="background1"/>
              </w:rPr>
              <w:t>L</w:t>
            </w:r>
          </w:p>
        </w:tc>
        <w:tc>
          <w:tcPr>
            <w:tcW w:w="1275" w:type="dxa"/>
            <w:tcBorders>
              <w:top w:val="threeDEmboss" w:sz="24" w:space="0" w:color="002060"/>
              <w:left w:val="single" w:sz="4" w:space="0" w:color="FFFFFF" w:themeColor="background1"/>
              <w:bottom w:val="single" w:sz="4" w:space="0" w:color="FFFFFF" w:themeColor="background1"/>
              <w:right w:val="single" w:sz="4" w:space="0" w:color="FFFFFF" w:themeColor="background1"/>
            </w:tcBorders>
            <w:shd w:val="clear" w:color="auto" w:fill="C00000"/>
          </w:tcPr>
          <w:p w14:paraId="7BC93CC8" w14:textId="77777777" w:rsidR="003168F8" w:rsidRPr="00662CBC" w:rsidRDefault="003168F8" w:rsidP="006064D6"/>
        </w:tc>
        <w:tc>
          <w:tcPr>
            <w:tcW w:w="1153" w:type="dxa"/>
            <w:tcBorders>
              <w:top w:val="threeDEmboss" w:sz="24" w:space="0" w:color="002060"/>
              <w:left w:val="single" w:sz="4" w:space="0" w:color="FFFFFF" w:themeColor="background1"/>
              <w:bottom w:val="single" w:sz="4" w:space="0" w:color="FFFFFF" w:themeColor="background1"/>
              <w:right w:val="single" w:sz="4" w:space="0" w:color="FFFFFF" w:themeColor="background1"/>
            </w:tcBorders>
            <w:shd w:val="clear" w:color="auto" w:fill="098C44"/>
          </w:tcPr>
          <w:p w14:paraId="722DB7BE" w14:textId="76FE511C" w:rsidR="003168F8" w:rsidRPr="00662CBC" w:rsidRDefault="000331EC" w:rsidP="006064D6">
            <w:pPr>
              <w:jc w:val="center"/>
            </w:pPr>
            <w:r>
              <w:rPr>
                <w:b/>
                <w:bCs/>
                <w:color w:val="FFFFFF" w:themeColor="background1"/>
              </w:rPr>
              <w:t>L</w:t>
            </w:r>
          </w:p>
        </w:tc>
        <w:tc>
          <w:tcPr>
            <w:tcW w:w="927" w:type="dxa"/>
            <w:tcBorders>
              <w:top w:val="threeDEmboss" w:sz="24" w:space="0" w:color="002060"/>
              <w:left w:val="single" w:sz="4" w:space="0" w:color="FFFFFF" w:themeColor="background1"/>
              <w:bottom w:val="single" w:sz="4" w:space="0" w:color="FFFFFF" w:themeColor="background1"/>
              <w:right w:val="single" w:sz="4" w:space="0" w:color="FFFFFF" w:themeColor="background1"/>
            </w:tcBorders>
            <w:shd w:val="clear" w:color="auto" w:fill="00B0F0"/>
          </w:tcPr>
          <w:p w14:paraId="5EEEF439" w14:textId="157A9796" w:rsidR="003168F8" w:rsidRPr="00662CBC" w:rsidRDefault="000331EC" w:rsidP="006064D6">
            <w:pPr>
              <w:jc w:val="center"/>
            </w:pPr>
            <w:r>
              <w:rPr>
                <w:b/>
                <w:bCs/>
                <w:color w:val="FFFFFF" w:themeColor="background1"/>
              </w:rPr>
              <w:t>L</w:t>
            </w:r>
          </w:p>
        </w:tc>
        <w:tc>
          <w:tcPr>
            <w:tcW w:w="1270" w:type="dxa"/>
            <w:tcBorders>
              <w:top w:val="threeDEmboss" w:sz="24" w:space="0" w:color="002060"/>
              <w:left w:val="single" w:sz="4" w:space="0" w:color="FFFFFF" w:themeColor="background1"/>
              <w:bottom w:val="single" w:sz="4" w:space="0" w:color="FFFFFF" w:themeColor="background1"/>
              <w:right w:val="single" w:sz="4" w:space="0" w:color="FFFFFF" w:themeColor="background1"/>
            </w:tcBorders>
            <w:shd w:val="clear" w:color="auto" w:fill="098C44"/>
          </w:tcPr>
          <w:p w14:paraId="101C26D2" w14:textId="77777777" w:rsidR="003168F8" w:rsidRPr="00662CBC" w:rsidRDefault="003168F8" w:rsidP="006064D6">
            <w:pPr>
              <w:jc w:val="center"/>
            </w:pPr>
          </w:p>
        </w:tc>
        <w:tc>
          <w:tcPr>
            <w:tcW w:w="1795" w:type="dxa"/>
            <w:tcBorders>
              <w:top w:val="threeDEmboss" w:sz="24" w:space="0" w:color="002060"/>
              <w:left w:val="single" w:sz="4" w:space="0" w:color="FFFFFF" w:themeColor="background1"/>
              <w:bottom w:val="single" w:sz="4" w:space="0" w:color="FFFFFF" w:themeColor="background1"/>
              <w:right w:val="single" w:sz="4" w:space="0" w:color="FFFFFF" w:themeColor="background1"/>
            </w:tcBorders>
            <w:shd w:val="clear" w:color="auto" w:fill="969696" w:themeFill="accent3"/>
          </w:tcPr>
          <w:p w14:paraId="230A0049" w14:textId="77777777" w:rsidR="003168F8" w:rsidRPr="00662CBC" w:rsidRDefault="003168F8" w:rsidP="006064D6">
            <w:pPr>
              <w:jc w:val="center"/>
            </w:pPr>
          </w:p>
        </w:tc>
        <w:tc>
          <w:tcPr>
            <w:tcW w:w="1495" w:type="dxa"/>
            <w:tcBorders>
              <w:top w:val="threeDEmboss" w:sz="24" w:space="0" w:color="002060"/>
              <w:left w:val="single" w:sz="4" w:space="0" w:color="FFFFFF" w:themeColor="background1"/>
              <w:bottom w:val="single" w:sz="4" w:space="0" w:color="FFFFFF" w:themeColor="background1"/>
              <w:right w:val="threeDEmboss" w:sz="24" w:space="0" w:color="002060"/>
            </w:tcBorders>
            <w:shd w:val="clear" w:color="auto" w:fill="098C44"/>
          </w:tcPr>
          <w:p w14:paraId="51B9BA9F" w14:textId="77777777" w:rsidR="003168F8" w:rsidRPr="00662CBC" w:rsidRDefault="003168F8" w:rsidP="006064D6">
            <w:pPr>
              <w:jc w:val="center"/>
            </w:pPr>
            <w:r w:rsidRPr="00662CBC">
              <w:rPr>
                <w:b/>
                <w:bCs/>
                <w:color w:val="FFFFFF" w:themeColor="background1"/>
              </w:rPr>
              <w:t>L</w:t>
            </w:r>
          </w:p>
        </w:tc>
      </w:tr>
      <w:tr w:rsidR="003168F8" w:rsidRPr="00662CBC" w14:paraId="5B848B25" w14:textId="77777777" w:rsidTr="00113B71">
        <w:tc>
          <w:tcPr>
            <w:tcW w:w="426" w:type="dxa"/>
            <w:tcBorders>
              <w:top w:val="single" w:sz="4" w:space="0" w:color="FFFFFF" w:themeColor="background1"/>
              <w:left w:val="threeDEmboss" w:sz="24" w:space="0" w:color="002060"/>
              <w:bottom w:val="single" w:sz="4" w:space="0" w:color="FFFFFF" w:themeColor="background1"/>
              <w:right w:val="single" w:sz="4" w:space="0" w:color="FFFFFF" w:themeColor="background1"/>
            </w:tcBorders>
          </w:tcPr>
          <w:p w14:paraId="7BFB7E11"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2044D0" w14:textId="77777777" w:rsidR="003168F8" w:rsidRPr="00662CBC" w:rsidRDefault="003168F8" w:rsidP="006064D6">
            <w:r w:rsidRPr="00662CBC">
              <w:t>Greece</w:t>
            </w:r>
          </w:p>
        </w:tc>
        <w:tc>
          <w:tcPr>
            <w:tcW w:w="1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42FCDC78" w14:textId="77777777" w:rsidR="003168F8" w:rsidRPr="00662CBC" w:rsidRDefault="003168F8" w:rsidP="006064D6">
            <w:pPr>
              <w:jc w:val="center"/>
              <w:rPr>
                <w:color w:val="FFFFFF" w:themeColor="background1"/>
              </w:rPr>
            </w:pPr>
          </w:p>
        </w:tc>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98C44"/>
          </w:tcPr>
          <w:p w14:paraId="79A2B9A3" w14:textId="77777777" w:rsidR="003168F8" w:rsidRPr="00662CBC" w:rsidRDefault="003168F8" w:rsidP="006064D6">
            <w:pPr>
              <w:jc w:val="center"/>
              <w:rPr>
                <w:b/>
                <w:bCs/>
                <w:color w:val="FFFFFF" w:themeColor="background1"/>
              </w:rPr>
            </w:pPr>
            <w:r w:rsidRPr="00662CBC">
              <w:rPr>
                <w:b/>
                <w:bCs/>
                <w:color w:val="FFFFFF" w:themeColor="background1"/>
              </w:rPr>
              <w:t>L</w:t>
            </w: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B93"/>
          </w:tcPr>
          <w:p w14:paraId="72B89E71" w14:textId="77777777" w:rsidR="003168F8" w:rsidRPr="00662CBC" w:rsidRDefault="003168F8" w:rsidP="006064D6"/>
        </w:tc>
        <w:tc>
          <w:tcPr>
            <w:tcW w:w="0" w:type="auto"/>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098C44"/>
          </w:tcPr>
          <w:p w14:paraId="2FA35B8C" w14:textId="77777777" w:rsidR="003168F8" w:rsidRPr="00662CBC" w:rsidRDefault="003168F8" w:rsidP="006064D6">
            <w:pPr>
              <w:rPr>
                <w:b/>
                <w:bCs/>
              </w:rPr>
            </w:pPr>
            <w:r w:rsidRPr="00662CBC">
              <w:rPr>
                <w:b/>
                <w:bCs/>
                <w:color w:val="FFFFFF" w:themeColor="background1"/>
              </w:rPr>
              <w:t>LLC — Soft quota for other listed companies</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98C44"/>
          </w:tcPr>
          <w:p w14:paraId="28FBE580" w14:textId="77777777" w:rsidR="003168F8" w:rsidRPr="00662CBC" w:rsidRDefault="003168F8" w:rsidP="006064D6">
            <w:pPr>
              <w:jc w:val="center"/>
              <w:rPr>
                <w:b/>
                <w:bCs/>
              </w:rPr>
            </w:pPr>
            <w:r w:rsidRPr="00662CBC">
              <w:rPr>
                <w:b/>
                <w:bCs/>
                <w:color w:val="FFFFFF" w:themeColor="background1"/>
              </w:rPr>
              <w:t>L</w:t>
            </w:r>
          </w:p>
        </w:tc>
        <w:tc>
          <w:tcPr>
            <w:tcW w:w="11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9696" w:themeFill="accent3"/>
          </w:tcPr>
          <w:p w14:paraId="62A01898" w14:textId="77777777" w:rsidR="003168F8" w:rsidRPr="000331EC" w:rsidRDefault="003168F8" w:rsidP="006064D6">
            <w:pPr>
              <w:rPr>
                <w:b/>
                <w:bCs/>
                <w:color w:val="FFFFFF" w:themeColor="background1"/>
              </w:rPr>
            </w:pPr>
          </w:p>
        </w:tc>
        <w:tc>
          <w:tcPr>
            <w:tcW w:w="9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9696" w:themeFill="accent3"/>
          </w:tcPr>
          <w:p w14:paraId="32DC68CB" w14:textId="77777777" w:rsidR="003168F8" w:rsidRPr="000331EC" w:rsidRDefault="003168F8" w:rsidP="006064D6">
            <w:pPr>
              <w:rPr>
                <w:b/>
                <w:bCs/>
                <w:color w:val="FFFFFF" w:themeColor="background1"/>
              </w:rPr>
            </w:pPr>
          </w:p>
        </w:tc>
        <w:tc>
          <w:tcPr>
            <w:tcW w:w="1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4CAD0AF6" w14:textId="77777777" w:rsidR="003168F8" w:rsidRPr="000331EC" w:rsidRDefault="003168F8" w:rsidP="006064D6">
            <w:pPr>
              <w:rPr>
                <w:b/>
                <w:bCs/>
                <w:color w:val="FFFFFF" w:themeColor="background1"/>
              </w:rPr>
            </w:pPr>
          </w:p>
        </w:tc>
        <w:tc>
          <w:tcPr>
            <w:tcW w:w="1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98C44"/>
          </w:tcPr>
          <w:p w14:paraId="258A69B1" w14:textId="77777777" w:rsidR="003168F8" w:rsidRPr="00662CBC" w:rsidRDefault="003168F8" w:rsidP="006064D6">
            <w:pPr>
              <w:rPr>
                <w:b/>
                <w:bCs/>
                <w:color w:val="FFFFFF" w:themeColor="background1"/>
              </w:rPr>
            </w:pPr>
            <w:r w:rsidRPr="00662CBC">
              <w:rPr>
                <w:b/>
                <w:bCs/>
                <w:color w:val="FFFFFF" w:themeColor="background1"/>
              </w:rPr>
              <w:t>Administrative councils of athletic unions</w:t>
            </w:r>
          </w:p>
          <w:p w14:paraId="4A057B79" w14:textId="77777777" w:rsidR="003168F8" w:rsidRPr="00662CBC" w:rsidRDefault="003168F8" w:rsidP="006064D6">
            <w:pPr>
              <w:jc w:val="center"/>
              <w:rPr>
                <w:b/>
                <w:bCs/>
                <w:color w:val="FFFFFF" w:themeColor="background1"/>
              </w:rPr>
            </w:pPr>
            <w:r w:rsidRPr="00662CBC">
              <w:rPr>
                <w:b/>
                <w:bCs/>
                <w:color w:val="FFFFFF" w:themeColor="background1"/>
              </w:rPr>
              <w:lastRenderedPageBreak/>
              <w:t xml:space="preserve">Service councils of the public sector </w:t>
            </w:r>
          </w:p>
          <w:p w14:paraId="4F5EB86F" w14:textId="77777777" w:rsidR="003168F8" w:rsidRPr="00662CBC" w:rsidRDefault="003168F8" w:rsidP="006064D6">
            <w:pPr>
              <w:jc w:val="center"/>
            </w:pPr>
            <w:r w:rsidRPr="00662CBC">
              <w:rPr>
                <w:b/>
                <w:bCs/>
                <w:color w:val="FFFFFF" w:themeColor="background1"/>
              </w:rPr>
              <w:t>Research councils or committees</w:t>
            </w:r>
          </w:p>
        </w:tc>
        <w:tc>
          <w:tcPr>
            <w:tcW w:w="1495" w:type="dxa"/>
            <w:tcBorders>
              <w:top w:val="single" w:sz="4" w:space="0" w:color="FFFFFF" w:themeColor="background1"/>
              <w:left w:val="single" w:sz="4" w:space="0" w:color="FFFFFF" w:themeColor="background1"/>
              <w:bottom w:val="single" w:sz="4" w:space="0" w:color="FFFFFF" w:themeColor="background1"/>
              <w:right w:val="threeDEmboss" w:sz="24" w:space="0" w:color="002060"/>
            </w:tcBorders>
            <w:shd w:val="clear" w:color="auto" w:fill="098C44"/>
          </w:tcPr>
          <w:p w14:paraId="7FD64E3E" w14:textId="77777777" w:rsidR="003168F8" w:rsidRPr="00662CBC" w:rsidRDefault="003168F8" w:rsidP="006064D6">
            <w:pPr>
              <w:jc w:val="center"/>
              <w:rPr>
                <w:b/>
                <w:bCs/>
              </w:rPr>
            </w:pPr>
            <w:r w:rsidRPr="00662CBC">
              <w:rPr>
                <w:b/>
                <w:bCs/>
                <w:color w:val="FFFFFF" w:themeColor="background1"/>
              </w:rPr>
              <w:lastRenderedPageBreak/>
              <w:t>L – no sanctions for public quota</w:t>
            </w:r>
          </w:p>
        </w:tc>
      </w:tr>
      <w:tr w:rsidR="003168F8" w:rsidRPr="00662CBC" w14:paraId="29CA0270" w14:textId="77777777" w:rsidTr="00113B71">
        <w:tc>
          <w:tcPr>
            <w:tcW w:w="426" w:type="dxa"/>
            <w:tcBorders>
              <w:top w:val="single" w:sz="4" w:space="0" w:color="FFFFFF" w:themeColor="background1"/>
              <w:left w:val="threeDEmboss" w:sz="24" w:space="0" w:color="002060"/>
              <w:bottom w:val="threeDEmboss" w:sz="24" w:space="0" w:color="00B0F0"/>
              <w:right w:val="single" w:sz="4" w:space="0" w:color="FFFFFF" w:themeColor="background1"/>
            </w:tcBorders>
          </w:tcPr>
          <w:p w14:paraId="06DAF691"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single" w:sz="4" w:space="0" w:color="FFFFFF" w:themeColor="background1"/>
              <w:left w:val="single" w:sz="4" w:space="0" w:color="FFFFFF" w:themeColor="background1"/>
              <w:bottom w:val="threeDEmboss" w:sz="24" w:space="0" w:color="00B0F0"/>
              <w:right w:val="single" w:sz="4" w:space="0" w:color="FFFFFF" w:themeColor="background1"/>
            </w:tcBorders>
          </w:tcPr>
          <w:p w14:paraId="1931D046" w14:textId="77777777" w:rsidR="003168F8" w:rsidRPr="00662CBC" w:rsidRDefault="003168F8" w:rsidP="006064D6">
            <w:r w:rsidRPr="00662CBC">
              <w:t>Hungary</w:t>
            </w:r>
          </w:p>
        </w:tc>
        <w:tc>
          <w:tcPr>
            <w:tcW w:w="1111" w:type="dxa"/>
            <w:tcBorders>
              <w:top w:val="single" w:sz="4" w:space="0" w:color="FFFFFF" w:themeColor="background1"/>
              <w:left w:val="single" w:sz="4" w:space="0" w:color="FFFFFF" w:themeColor="background1"/>
              <w:bottom w:val="threeDEmboss" w:sz="24" w:space="0" w:color="00B0F0"/>
              <w:right w:val="single" w:sz="4" w:space="0" w:color="FFFFFF" w:themeColor="background1"/>
            </w:tcBorders>
            <w:shd w:val="clear" w:color="auto" w:fill="C00000"/>
          </w:tcPr>
          <w:p w14:paraId="270FDEBB" w14:textId="77777777" w:rsidR="003168F8" w:rsidRPr="00662CBC" w:rsidRDefault="003168F8" w:rsidP="006064D6">
            <w:pPr>
              <w:jc w:val="center"/>
              <w:rPr>
                <w:color w:val="FFFFFF" w:themeColor="background1"/>
              </w:rPr>
            </w:pPr>
          </w:p>
        </w:tc>
        <w:tc>
          <w:tcPr>
            <w:tcW w:w="1561" w:type="dxa"/>
            <w:tcBorders>
              <w:top w:val="single" w:sz="4" w:space="0" w:color="FFFFFF" w:themeColor="background1"/>
              <w:left w:val="single" w:sz="4" w:space="0" w:color="FFFFFF" w:themeColor="background1"/>
              <w:bottom w:val="threeDEmboss" w:sz="24" w:space="0" w:color="00B0F0"/>
              <w:right w:val="single" w:sz="4" w:space="0" w:color="FFFFFF" w:themeColor="background1"/>
            </w:tcBorders>
            <w:shd w:val="clear" w:color="auto" w:fill="C00000"/>
          </w:tcPr>
          <w:p w14:paraId="26E0627C" w14:textId="77777777" w:rsidR="003168F8" w:rsidRPr="00662CBC" w:rsidRDefault="003168F8" w:rsidP="006064D6">
            <w:pPr>
              <w:jc w:val="center"/>
              <w:rPr>
                <w:color w:val="FFFFFF" w:themeColor="background1"/>
              </w:rPr>
            </w:pPr>
          </w:p>
        </w:tc>
        <w:tc>
          <w:tcPr>
            <w:tcW w:w="1269" w:type="dxa"/>
            <w:tcBorders>
              <w:top w:val="single" w:sz="4" w:space="0" w:color="FFFFFF" w:themeColor="background1"/>
              <w:left w:val="single" w:sz="4" w:space="0" w:color="FFFFFF" w:themeColor="background1"/>
              <w:bottom w:val="threeDEmboss" w:sz="24" w:space="0" w:color="00B0F0"/>
              <w:right w:val="single" w:sz="4" w:space="0" w:color="FFFFFF" w:themeColor="background1"/>
            </w:tcBorders>
            <w:shd w:val="clear" w:color="auto" w:fill="F2FB93"/>
          </w:tcPr>
          <w:p w14:paraId="092EEB85" w14:textId="77777777" w:rsidR="003168F8" w:rsidRPr="00662CBC" w:rsidRDefault="003168F8" w:rsidP="006064D6"/>
        </w:tc>
        <w:tc>
          <w:tcPr>
            <w:tcW w:w="0" w:type="auto"/>
            <w:tcBorders>
              <w:top w:val="single" w:sz="4" w:space="0" w:color="FFFFFF" w:themeColor="background1"/>
              <w:left w:val="single" w:sz="4" w:space="0" w:color="FFFFFF" w:themeColor="background1"/>
              <w:bottom w:val="threeDEmboss" w:sz="24" w:space="0" w:color="00B0F0"/>
              <w:right w:val="single" w:sz="4" w:space="0" w:color="FFFFFF" w:themeColor="background1"/>
            </w:tcBorders>
            <w:shd w:val="clear" w:color="auto" w:fill="C00000"/>
          </w:tcPr>
          <w:p w14:paraId="680DF0D5" w14:textId="77777777" w:rsidR="003168F8" w:rsidRPr="00662CBC" w:rsidRDefault="003168F8" w:rsidP="006064D6"/>
        </w:tc>
        <w:tc>
          <w:tcPr>
            <w:tcW w:w="1275" w:type="dxa"/>
            <w:tcBorders>
              <w:top w:val="single" w:sz="4" w:space="0" w:color="FFFFFF" w:themeColor="background1"/>
              <w:left w:val="single" w:sz="4" w:space="0" w:color="FFFFFF" w:themeColor="background1"/>
              <w:bottom w:val="threeDEmboss" w:sz="24" w:space="0" w:color="00B0F0"/>
              <w:right w:val="single" w:sz="4" w:space="0" w:color="FFFFFF" w:themeColor="background1"/>
            </w:tcBorders>
            <w:shd w:val="clear" w:color="auto" w:fill="C00000"/>
          </w:tcPr>
          <w:p w14:paraId="79DCF8F6" w14:textId="77777777" w:rsidR="003168F8" w:rsidRPr="00662CBC" w:rsidRDefault="003168F8" w:rsidP="006064D6"/>
        </w:tc>
        <w:tc>
          <w:tcPr>
            <w:tcW w:w="1153" w:type="dxa"/>
            <w:tcBorders>
              <w:top w:val="single" w:sz="4" w:space="0" w:color="FFFFFF" w:themeColor="background1"/>
              <w:left w:val="single" w:sz="4" w:space="0" w:color="FFFFFF" w:themeColor="background1"/>
              <w:bottom w:val="threeDEmboss" w:sz="24" w:space="0" w:color="00B0F0"/>
              <w:right w:val="single" w:sz="4" w:space="0" w:color="FFFFFF" w:themeColor="background1"/>
            </w:tcBorders>
            <w:shd w:val="clear" w:color="auto" w:fill="969696" w:themeFill="accent3"/>
          </w:tcPr>
          <w:p w14:paraId="2D47F08D" w14:textId="77777777" w:rsidR="003168F8" w:rsidRPr="000331EC" w:rsidRDefault="003168F8" w:rsidP="006064D6">
            <w:pPr>
              <w:jc w:val="center"/>
              <w:rPr>
                <w:b/>
                <w:bCs/>
                <w:color w:val="FFFFFF" w:themeColor="background1"/>
              </w:rPr>
            </w:pPr>
          </w:p>
        </w:tc>
        <w:tc>
          <w:tcPr>
            <w:tcW w:w="927" w:type="dxa"/>
            <w:tcBorders>
              <w:top w:val="single" w:sz="4" w:space="0" w:color="FFFFFF" w:themeColor="background1"/>
              <w:left w:val="single" w:sz="4" w:space="0" w:color="FFFFFF" w:themeColor="background1"/>
              <w:bottom w:val="threeDEmboss" w:sz="24" w:space="0" w:color="00B0F0"/>
              <w:right w:val="single" w:sz="4" w:space="0" w:color="FFFFFF" w:themeColor="background1"/>
            </w:tcBorders>
            <w:shd w:val="clear" w:color="auto" w:fill="969696" w:themeFill="accent3"/>
          </w:tcPr>
          <w:p w14:paraId="3BE41C60" w14:textId="77777777" w:rsidR="003168F8" w:rsidRPr="000331EC" w:rsidRDefault="003168F8" w:rsidP="006064D6">
            <w:pPr>
              <w:jc w:val="center"/>
              <w:rPr>
                <w:b/>
                <w:bCs/>
                <w:color w:val="FFFFFF" w:themeColor="background1"/>
              </w:rPr>
            </w:pPr>
          </w:p>
        </w:tc>
        <w:tc>
          <w:tcPr>
            <w:tcW w:w="1270" w:type="dxa"/>
            <w:tcBorders>
              <w:top w:val="single" w:sz="4" w:space="0" w:color="FFFFFF" w:themeColor="background1"/>
              <w:left w:val="single" w:sz="4" w:space="0" w:color="FFFFFF" w:themeColor="background1"/>
              <w:bottom w:val="threeDEmboss" w:sz="24" w:space="0" w:color="00B0F0"/>
              <w:right w:val="single" w:sz="4" w:space="0" w:color="FFFFFF" w:themeColor="background1"/>
            </w:tcBorders>
            <w:shd w:val="clear" w:color="auto" w:fill="C00000"/>
          </w:tcPr>
          <w:p w14:paraId="39216FD5" w14:textId="77777777" w:rsidR="003168F8" w:rsidRPr="000331EC" w:rsidRDefault="003168F8" w:rsidP="006064D6">
            <w:pPr>
              <w:jc w:val="center"/>
              <w:rPr>
                <w:b/>
                <w:bCs/>
                <w:color w:val="FFFFFF" w:themeColor="background1"/>
              </w:rPr>
            </w:pPr>
          </w:p>
        </w:tc>
        <w:tc>
          <w:tcPr>
            <w:tcW w:w="1795" w:type="dxa"/>
            <w:tcBorders>
              <w:top w:val="single" w:sz="4" w:space="0" w:color="FFFFFF" w:themeColor="background1"/>
              <w:left w:val="single" w:sz="4" w:space="0" w:color="FFFFFF" w:themeColor="background1"/>
              <w:bottom w:val="threeDEmboss" w:sz="24" w:space="0" w:color="00B0F0"/>
              <w:right w:val="single" w:sz="4" w:space="0" w:color="FFFFFF" w:themeColor="background1"/>
            </w:tcBorders>
            <w:shd w:val="clear" w:color="auto" w:fill="C00000"/>
          </w:tcPr>
          <w:p w14:paraId="52CC19DE" w14:textId="77777777" w:rsidR="003168F8" w:rsidRPr="00662CBC" w:rsidRDefault="003168F8" w:rsidP="006064D6">
            <w:pPr>
              <w:jc w:val="center"/>
            </w:pPr>
          </w:p>
        </w:tc>
        <w:tc>
          <w:tcPr>
            <w:tcW w:w="1495" w:type="dxa"/>
            <w:tcBorders>
              <w:top w:val="single" w:sz="4" w:space="0" w:color="FFFFFF" w:themeColor="background1"/>
              <w:left w:val="single" w:sz="4" w:space="0" w:color="FFFFFF" w:themeColor="background1"/>
              <w:bottom w:val="threeDEmboss" w:sz="24" w:space="0" w:color="00B0F0"/>
              <w:right w:val="threeDEmboss" w:sz="24" w:space="0" w:color="002060"/>
            </w:tcBorders>
            <w:shd w:val="clear" w:color="auto" w:fill="098C44"/>
          </w:tcPr>
          <w:p w14:paraId="7B092B2B" w14:textId="77777777" w:rsidR="003168F8" w:rsidRPr="00662CBC" w:rsidRDefault="003168F8" w:rsidP="006064D6">
            <w:pPr>
              <w:jc w:val="center"/>
            </w:pPr>
            <w:r w:rsidRPr="00662CBC">
              <w:rPr>
                <w:b/>
                <w:bCs/>
                <w:color w:val="FFFFFF" w:themeColor="background1"/>
              </w:rPr>
              <w:t>L – unclear if it applies to both public and private</w:t>
            </w:r>
          </w:p>
        </w:tc>
      </w:tr>
      <w:tr w:rsidR="003168F8" w:rsidRPr="00662CBC" w14:paraId="2C01F328" w14:textId="77777777" w:rsidTr="002F1873">
        <w:tc>
          <w:tcPr>
            <w:tcW w:w="426" w:type="dxa"/>
            <w:tcBorders>
              <w:top w:val="threeDEmboss" w:sz="24" w:space="0" w:color="00B0F0"/>
              <w:left w:val="threeDEmboss" w:sz="24" w:space="0" w:color="00B0F0"/>
              <w:bottom w:val="threeDEmboss" w:sz="24" w:space="0" w:color="00B0F0"/>
              <w:right w:val="single" w:sz="4" w:space="0" w:color="FFFFFF" w:themeColor="background1"/>
            </w:tcBorders>
          </w:tcPr>
          <w:p w14:paraId="45CC593B"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threeDEmboss" w:sz="24" w:space="0" w:color="00B0F0"/>
              <w:left w:val="single" w:sz="4" w:space="0" w:color="FFFFFF" w:themeColor="background1"/>
              <w:bottom w:val="threeDEmboss" w:sz="24" w:space="0" w:color="00B0F0"/>
              <w:right w:val="single" w:sz="4" w:space="0" w:color="FFFFFF" w:themeColor="background1"/>
            </w:tcBorders>
          </w:tcPr>
          <w:p w14:paraId="4B87FE68" w14:textId="77777777" w:rsidR="003168F8" w:rsidRPr="00662CBC" w:rsidRDefault="003168F8" w:rsidP="006064D6">
            <w:r w:rsidRPr="00662CBC">
              <w:t>Iceland</w:t>
            </w:r>
          </w:p>
        </w:tc>
        <w:tc>
          <w:tcPr>
            <w:tcW w:w="1111" w:type="dxa"/>
            <w:tcBorders>
              <w:top w:val="threeDEmboss" w:sz="24" w:space="0" w:color="00B0F0"/>
              <w:left w:val="single" w:sz="4" w:space="0" w:color="FFFFFF" w:themeColor="background1"/>
              <w:bottom w:val="threeDEmboss" w:sz="24" w:space="0" w:color="00B0F0"/>
              <w:right w:val="single" w:sz="4" w:space="0" w:color="FFFFFF" w:themeColor="background1"/>
            </w:tcBorders>
            <w:shd w:val="clear" w:color="auto" w:fill="C00000"/>
          </w:tcPr>
          <w:p w14:paraId="3B37AAAE" w14:textId="77777777" w:rsidR="003168F8" w:rsidRPr="00662CBC" w:rsidRDefault="003168F8" w:rsidP="006064D6">
            <w:pPr>
              <w:jc w:val="center"/>
              <w:rPr>
                <w:color w:val="FFFFFF" w:themeColor="background1"/>
              </w:rPr>
            </w:pPr>
          </w:p>
        </w:tc>
        <w:tc>
          <w:tcPr>
            <w:tcW w:w="1561" w:type="dxa"/>
            <w:tcBorders>
              <w:top w:val="threeDEmboss" w:sz="24" w:space="0" w:color="00B0F0"/>
              <w:left w:val="single" w:sz="4" w:space="0" w:color="FFFFFF" w:themeColor="background1"/>
              <w:bottom w:val="threeDEmboss" w:sz="24" w:space="0" w:color="00B0F0"/>
              <w:right w:val="single" w:sz="4" w:space="0" w:color="FFFFFF" w:themeColor="background1"/>
            </w:tcBorders>
            <w:shd w:val="clear" w:color="auto" w:fill="C00000"/>
          </w:tcPr>
          <w:p w14:paraId="619BB950" w14:textId="77777777" w:rsidR="003168F8" w:rsidRPr="00662CBC" w:rsidRDefault="003168F8" w:rsidP="006064D6">
            <w:pPr>
              <w:jc w:val="center"/>
              <w:rPr>
                <w:color w:val="FFFFFF" w:themeColor="background1"/>
              </w:rPr>
            </w:pPr>
          </w:p>
        </w:tc>
        <w:tc>
          <w:tcPr>
            <w:tcW w:w="1269" w:type="dxa"/>
            <w:tcBorders>
              <w:top w:val="threeDEmboss" w:sz="24" w:space="0" w:color="00B0F0"/>
              <w:left w:val="single" w:sz="4" w:space="0" w:color="FFFFFF" w:themeColor="background1"/>
              <w:bottom w:val="threeDEmboss" w:sz="24" w:space="0" w:color="00B0F0"/>
              <w:right w:val="single" w:sz="4" w:space="0" w:color="FFFFFF" w:themeColor="background1"/>
            </w:tcBorders>
            <w:shd w:val="clear" w:color="auto" w:fill="F2FB93"/>
          </w:tcPr>
          <w:p w14:paraId="2E2125AE" w14:textId="77777777" w:rsidR="003168F8" w:rsidRPr="00662CBC" w:rsidRDefault="003168F8" w:rsidP="006064D6"/>
        </w:tc>
        <w:tc>
          <w:tcPr>
            <w:tcW w:w="0" w:type="auto"/>
            <w:tcBorders>
              <w:top w:val="threeDEmboss" w:sz="24" w:space="0" w:color="00B0F0"/>
              <w:left w:val="single" w:sz="4" w:space="0" w:color="FFFFFF" w:themeColor="background1"/>
              <w:bottom w:val="threeDEmboss" w:sz="24" w:space="0" w:color="00B0F0"/>
              <w:right w:val="single" w:sz="4" w:space="0" w:color="FFFFFF" w:themeColor="background1"/>
            </w:tcBorders>
            <w:shd w:val="clear" w:color="auto" w:fill="098C44"/>
          </w:tcPr>
          <w:p w14:paraId="48AF421A" w14:textId="77777777" w:rsidR="003168F8" w:rsidRPr="00662CBC" w:rsidRDefault="003168F8" w:rsidP="006064D6">
            <w:pPr>
              <w:jc w:val="center"/>
              <w:rPr>
                <w:b/>
                <w:bCs/>
              </w:rPr>
            </w:pPr>
            <w:r w:rsidRPr="00662CBC">
              <w:rPr>
                <w:b/>
                <w:bCs/>
                <w:color w:val="FFFFFF" w:themeColor="background1"/>
              </w:rPr>
              <w:t>L</w:t>
            </w:r>
          </w:p>
        </w:tc>
        <w:tc>
          <w:tcPr>
            <w:tcW w:w="1275" w:type="dxa"/>
            <w:tcBorders>
              <w:top w:val="threeDEmboss" w:sz="24" w:space="0" w:color="00B0F0"/>
              <w:left w:val="single" w:sz="4" w:space="0" w:color="FFFFFF" w:themeColor="background1"/>
              <w:bottom w:val="threeDEmboss" w:sz="24" w:space="0" w:color="00B0F0"/>
              <w:right w:val="single" w:sz="4" w:space="0" w:color="FFFFFF" w:themeColor="background1"/>
            </w:tcBorders>
            <w:shd w:val="clear" w:color="auto" w:fill="969696" w:themeFill="accent3"/>
          </w:tcPr>
          <w:p w14:paraId="0687BAA3" w14:textId="77777777" w:rsidR="003168F8" w:rsidRPr="00662CBC" w:rsidRDefault="003168F8" w:rsidP="006064D6"/>
        </w:tc>
        <w:tc>
          <w:tcPr>
            <w:tcW w:w="1153" w:type="dxa"/>
            <w:tcBorders>
              <w:top w:val="threeDEmboss" w:sz="24" w:space="0" w:color="00B0F0"/>
              <w:left w:val="single" w:sz="4" w:space="0" w:color="FFFFFF" w:themeColor="background1"/>
              <w:bottom w:val="threeDEmboss" w:sz="24" w:space="0" w:color="00B0F0"/>
              <w:right w:val="single" w:sz="4" w:space="0" w:color="FFFFFF" w:themeColor="background1"/>
            </w:tcBorders>
            <w:shd w:val="clear" w:color="auto" w:fill="00B0F0"/>
          </w:tcPr>
          <w:p w14:paraId="200FB4DE" w14:textId="23D938F7" w:rsidR="003168F8" w:rsidRPr="000331EC" w:rsidRDefault="002F1873" w:rsidP="006064D6">
            <w:pPr>
              <w:jc w:val="center"/>
              <w:rPr>
                <w:b/>
                <w:bCs/>
                <w:color w:val="FFFFFF" w:themeColor="background1"/>
              </w:rPr>
            </w:pPr>
            <w:r>
              <w:rPr>
                <w:b/>
                <w:bCs/>
                <w:color w:val="FFFFFF" w:themeColor="background1"/>
              </w:rPr>
              <w:t>L</w:t>
            </w:r>
          </w:p>
        </w:tc>
        <w:tc>
          <w:tcPr>
            <w:tcW w:w="927" w:type="dxa"/>
            <w:tcBorders>
              <w:top w:val="threeDEmboss" w:sz="24" w:space="0" w:color="00B0F0"/>
              <w:left w:val="single" w:sz="4" w:space="0" w:color="FFFFFF" w:themeColor="background1"/>
              <w:bottom w:val="threeDEmboss" w:sz="24" w:space="0" w:color="00B0F0"/>
              <w:right w:val="single" w:sz="4" w:space="0" w:color="FFFFFF" w:themeColor="background1"/>
            </w:tcBorders>
            <w:shd w:val="clear" w:color="auto" w:fill="C00000"/>
          </w:tcPr>
          <w:p w14:paraId="159A5E3A" w14:textId="01064897" w:rsidR="003168F8" w:rsidRPr="000331EC" w:rsidRDefault="00535396" w:rsidP="006064D6">
            <w:pPr>
              <w:jc w:val="center"/>
              <w:rPr>
                <w:b/>
                <w:bCs/>
                <w:color w:val="FFFFFF" w:themeColor="background1"/>
              </w:rPr>
            </w:pPr>
            <w:r>
              <w:t>No armed forces</w:t>
            </w:r>
          </w:p>
        </w:tc>
        <w:tc>
          <w:tcPr>
            <w:tcW w:w="1270" w:type="dxa"/>
            <w:tcBorders>
              <w:top w:val="threeDEmboss" w:sz="24" w:space="0" w:color="00B0F0"/>
              <w:left w:val="single" w:sz="4" w:space="0" w:color="FFFFFF" w:themeColor="background1"/>
              <w:bottom w:val="threeDEmboss" w:sz="24" w:space="0" w:color="00B0F0"/>
              <w:right w:val="single" w:sz="4" w:space="0" w:color="FFFFFF" w:themeColor="background1"/>
            </w:tcBorders>
            <w:shd w:val="clear" w:color="auto" w:fill="C00000"/>
          </w:tcPr>
          <w:p w14:paraId="5E1D85AD" w14:textId="691B6B3F" w:rsidR="003168F8" w:rsidRPr="000331EC" w:rsidRDefault="00535396" w:rsidP="006064D6">
            <w:pPr>
              <w:jc w:val="center"/>
              <w:rPr>
                <w:b/>
                <w:bCs/>
                <w:color w:val="FFFFFF" w:themeColor="background1"/>
              </w:rPr>
            </w:pPr>
            <w:r>
              <w:t>No armed forces</w:t>
            </w:r>
          </w:p>
        </w:tc>
        <w:tc>
          <w:tcPr>
            <w:tcW w:w="1795" w:type="dxa"/>
            <w:tcBorders>
              <w:top w:val="threeDEmboss" w:sz="24" w:space="0" w:color="00B0F0"/>
              <w:left w:val="single" w:sz="4" w:space="0" w:color="FFFFFF" w:themeColor="background1"/>
              <w:bottom w:val="threeDEmboss" w:sz="24" w:space="0" w:color="00B0F0"/>
              <w:right w:val="single" w:sz="4" w:space="0" w:color="FFFFFF" w:themeColor="background1"/>
            </w:tcBorders>
            <w:shd w:val="clear" w:color="auto" w:fill="969696" w:themeFill="accent3"/>
          </w:tcPr>
          <w:p w14:paraId="2D9E16F0" w14:textId="77777777" w:rsidR="003168F8" w:rsidRPr="00662CBC" w:rsidRDefault="003168F8" w:rsidP="006064D6">
            <w:pPr>
              <w:jc w:val="center"/>
            </w:pPr>
          </w:p>
        </w:tc>
        <w:tc>
          <w:tcPr>
            <w:tcW w:w="1495" w:type="dxa"/>
            <w:tcBorders>
              <w:top w:val="threeDEmboss" w:sz="24" w:space="0" w:color="00B0F0"/>
              <w:left w:val="single" w:sz="4" w:space="0" w:color="FFFFFF" w:themeColor="background1"/>
              <w:bottom w:val="threeDEmboss" w:sz="24" w:space="0" w:color="00B0F0"/>
              <w:right w:val="threeDEmboss" w:sz="24" w:space="0" w:color="00B0F0"/>
            </w:tcBorders>
            <w:shd w:val="clear" w:color="auto" w:fill="C00000"/>
          </w:tcPr>
          <w:p w14:paraId="24E2CDE8" w14:textId="77777777" w:rsidR="003168F8" w:rsidRPr="00662CBC" w:rsidRDefault="003168F8" w:rsidP="006064D6">
            <w:pPr>
              <w:jc w:val="center"/>
            </w:pPr>
          </w:p>
        </w:tc>
      </w:tr>
      <w:tr w:rsidR="003168F8" w:rsidRPr="00662CBC" w14:paraId="407B4D23" w14:textId="77777777" w:rsidTr="007B4D9C">
        <w:tc>
          <w:tcPr>
            <w:tcW w:w="426" w:type="dxa"/>
            <w:tcBorders>
              <w:top w:val="threeDEmboss" w:sz="24" w:space="0" w:color="00B0F0"/>
              <w:left w:val="threeDEmboss" w:sz="24" w:space="0" w:color="002060"/>
              <w:bottom w:val="single" w:sz="4" w:space="0" w:color="FFFFFF" w:themeColor="background1"/>
              <w:right w:val="single" w:sz="4" w:space="0" w:color="FFFFFF" w:themeColor="background1"/>
            </w:tcBorders>
          </w:tcPr>
          <w:p w14:paraId="61DA1002"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threeDEmboss" w:sz="24" w:space="0" w:color="00B0F0"/>
              <w:left w:val="single" w:sz="4" w:space="0" w:color="FFFFFF" w:themeColor="background1"/>
              <w:bottom w:val="single" w:sz="4" w:space="0" w:color="FFFFFF" w:themeColor="background1"/>
              <w:right w:val="single" w:sz="4" w:space="0" w:color="FFFFFF" w:themeColor="background1"/>
            </w:tcBorders>
          </w:tcPr>
          <w:p w14:paraId="05A50BB3" w14:textId="77777777" w:rsidR="003168F8" w:rsidRPr="00662CBC" w:rsidRDefault="003168F8" w:rsidP="006064D6">
            <w:r w:rsidRPr="00662CBC">
              <w:t xml:space="preserve">Ireland </w:t>
            </w:r>
          </w:p>
        </w:tc>
        <w:tc>
          <w:tcPr>
            <w:tcW w:w="1111" w:type="dxa"/>
            <w:tcBorders>
              <w:top w:val="threeDEmboss" w:sz="24" w:space="0" w:color="00B0F0"/>
              <w:left w:val="single" w:sz="4" w:space="0" w:color="FFFFFF" w:themeColor="background1"/>
              <w:bottom w:val="single" w:sz="4" w:space="0" w:color="FFFFFF" w:themeColor="background1"/>
              <w:right w:val="single" w:sz="4" w:space="0" w:color="FFFFFF" w:themeColor="background1"/>
            </w:tcBorders>
            <w:shd w:val="clear" w:color="auto" w:fill="C00000"/>
          </w:tcPr>
          <w:p w14:paraId="27BE85E1" w14:textId="77777777" w:rsidR="003168F8" w:rsidRPr="00662CBC" w:rsidRDefault="003168F8" w:rsidP="006064D6">
            <w:pPr>
              <w:jc w:val="center"/>
              <w:rPr>
                <w:color w:val="FFFFFF" w:themeColor="background1"/>
              </w:rPr>
            </w:pPr>
          </w:p>
        </w:tc>
        <w:tc>
          <w:tcPr>
            <w:tcW w:w="1561" w:type="dxa"/>
            <w:tcBorders>
              <w:top w:val="threeDEmboss" w:sz="24" w:space="0" w:color="00B0F0"/>
              <w:left w:val="single" w:sz="4" w:space="0" w:color="FFFFFF" w:themeColor="background1"/>
              <w:bottom w:val="single" w:sz="4" w:space="0" w:color="FFFFFF" w:themeColor="background1"/>
              <w:right w:val="single" w:sz="4" w:space="0" w:color="FFFFFF" w:themeColor="background1"/>
            </w:tcBorders>
            <w:shd w:val="diagCross" w:color="098C44" w:fill="auto"/>
          </w:tcPr>
          <w:p w14:paraId="5322D6E3" w14:textId="77777777" w:rsidR="003168F8" w:rsidRPr="00662CBC" w:rsidRDefault="003168F8" w:rsidP="006064D6">
            <w:pPr>
              <w:jc w:val="center"/>
              <w:rPr>
                <w:b/>
                <w:bCs/>
                <w:color w:val="FFFFFF" w:themeColor="background1"/>
              </w:rPr>
            </w:pPr>
            <w:r w:rsidRPr="00662CBC">
              <w:rPr>
                <w:b/>
                <w:bCs/>
                <w:color w:val="FFFFFF" w:themeColor="background1"/>
              </w:rPr>
              <w:t>L Only lower house</w:t>
            </w:r>
          </w:p>
        </w:tc>
        <w:tc>
          <w:tcPr>
            <w:tcW w:w="1269" w:type="dxa"/>
            <w:tcBorders>
              <w:top w:val="threeDEmboss" w:sz="24" w:space="0" w:color="00B0F0"/>
              <w:left w:val="single" w:sz="4" w:space="0" w:color="FFFFFF" w:themeColor="background1"/>
              <w:bottom w:val="single" w:sz="4" w:space="0" w:color="FFFFFF" w:themeColor="background1"/>
              <w:right w:val="single" w:sz="4" w:space="0" w:color="FFFFFF" w:themeColor="background1"/>
            </w:tcBorders>
            <w:shd w:val="clear" w:color="auto" w:fill="FB786F"/>
          </w:tcPr>
          <w:p w14:paraId="7A9AAD9C" w14:textId="77777777" w:rsidR="003168F8" w:rsidRPr="00662CBC" w:rsidRDefault="003168F8" w:rsidP="006064D6">
            <w:pPr>
              <w:jc w:val="center"/>
            </w:pPr>
          </w:p>
        </w:tc>
        <w:tc>
          <w:tcPr>
            <w:tcW w:w="0" w:type="auto"/>
            <w:tcBorders>
              <w:top w:val="threeDEmboss" w:sz="24" w:space="0" w:color="00B0F0"/>
              <w:left w:val="single" w:sz="4" w:space="0" w:color="FFFFFF" w:themeColor="background1"/>
              <w:bottom w:val="single" w:sz="4" w:space="0" w:color="FFFFFF" w:themeColor="background1"/>
              <w:right w:val="single" w:sz="4" w:space="0" w:color="FFFFFF" w:themeColor="background1"/>
            </w:tcBorders>
            <w:shd w:val="clear" w:color="auto" w:fill="C00000"/>
          </w:tcPr>
          <w:p w14:paraId="1B033023" w14:textId="77777777" w:rsidR="003168F8" w:rsidRPr="00662CBC" w:rsidRDefault="003168F8" w:rsidP="006064D6">
            <w:pPr>
              <w:jc w:val="center"/>
            </w:pPr>
          </w:p>
        </w:tc>
        <w:tc>
          <w:tcPr>
            <w:tcW w:w="1275" w:type="dxa"/>
            <w:tcBorders>
              <w:top w:val="threeDEmboss" w:sz="24" w:space="0" w:color="00B0F0"/>
              <w:left w:val="single" w:sz="4" w:space="0" w:color="FFFFFF" w:themeColor="background1"/>
              <w:bottom w:val="single" w:sz="4" w:space="0" w:color="FFFFFF" w:themeColor="background1"/>
              <w:right w:val="single" w:sz="4" w:space="0" w:color="FFFFFF" w:themeColor="background1"/>
            </w:tcBorders>
            <w:shd w:val="clear" w:color="auto" w:fill="92D050"/>
          </w:tcPr>
          <w:p w14:paraId="645A68EF" w14:textId="77777777" w:rsidR="003168F8" w:rsidRPr="00662CBC" w:rsidRDefault="003168F8" w:rsidP="006064D6">
            <w:pPr>
              <w:jc w:val="center"/>
              <w:rPr>
                <w:b/>
                <w:bCs/>
              </w:rPr>
            </w:pPr>
            <w:r w:rsidRPr="00662CBC">
              <w:rPr>
                <w:b/>
                <w:bCs/>
              </w:rPr>
              <w:t>Policy</w:t>
            </w:r>
          </w:p>
        </w:tc>
        <w:tc>
          <w:tcPr>
            <w:tcW w:w="1153" w:type="dxa"/>
            <w:tcBorders>
              <w:top w:val="threeDEmboss" w:sz="24" w:space="0" w:color="00B0F0"/>
              <w:left w:val="single" w:sz="4" w:space="0" w:color="FFFFFF" w:themeColor="background1"/>
              <w:bottom w:val="single" w:sz="4" w:space="0" w:color="FFFFFF" w:themeColor="background1"/>
              <w:right w:val="single" w:sz="4" w:space="0" w:color="FFFFFF" w:themeColor="background1"/>
            </w:tcBorders>
            <w:shd w:val="clear" w:color="auto" w:fill="C00000"/>
          </w:tcPr>
          <w:p w14:paraId="7B7877D4" w14:textId="77777777" w:rsidR="003168F8" w:rsidRPr="000331EC" w:rsidRDefault="003168F8" w:rsidP="006064D6">
            <w:pPr>
              <w:jc w:val="center"/>
              <w:rPr>
                <w:b/>
                <w:bCs/>
                <w:color w:val="FFFFFF" w:themeColor="background1"/>
              </w:rPr>
            </w:pPr>
          </w:p>
        </w:tc>
        <w:tc>
          <w:tcPr>
            <w:tcW w:w="927" w:type="dxa"/>
            <w:tcBorders>
              <w:top w:val="threeDEmboss" w:sz="24" w:space="0" w:color="00B0F0"/>
              <w:left w:val="single" w:sz="4" w:space="0" w:color="FFFFFF" w:themeColor="background1"/>
              <w:bottom w:val="single" w:sz="4" w:space="0" w:color="FFFFFF" w:themeColor="background1"/>
              <w:right w:val="single" w:sz="4" w:space="0" w:color="FFFFFF" w:themeColor="background1"/>
            </w:tcBorders>
            <w:shd w:val="clear" w:color="auto" w:fill="969696" w:themeFill="accent3"/>
          </w:tcPr>
          <w:p w14:paraId="579A0C81" w14:textId="77777777" w:rsidR="003168F8" w:rsidRPr="000331EC" w:rsidRDefault="003168F8" w:rsidP="006064D6">
            <w:pPr>
              <w:jc w:val="center"/>
              <w:rPr>
                <w:b/>
                <w:bCs/>
                <w:color w:val="FFFFFF" w:themeColor="background1"/>
              </w:rPr>
            </w:pPr>
          </w:p>
        </w:tc>
        <w:tc>
          <w:tcPr>
            <w:tcW w:w="1270" w:type="dxa"/>
            <w:tcBorders>
              <w:top w:val="threeDEmboss" w:sz="24" w:space="0" w:color="00B0F0"/>
              <w:left w:val="single" w:sz="4" w:space="0" w:color="FFFFFF" w:themeColor="background1"/>
              <w:bottom w:val="single" w:sz="4" w:space="0" w:color="FFFFFF" w:themeColor="background1"/>
              <w:right w:val="single" w:sz="4" w:space="0" w:color="FFFFFF" w:themeColor="background1"/>
            </w:tcBorders>
            <w:shd w:val="clear" w:color="auto" w:fill="098C44"/>
          </w:tcPr>
          <w:p w14:paraId="4BDEA0E1" w14:textId="77777777" w:rsidR="003168F8" w:rsidRPr="000331EC" w:rsidRDefault="003168F8" w:rsidP="006064D6">
            <w:pPr>
              <w:jc w:val="center"/>
              <w:rPr>
                <w:b/>
                <w:bCs/>
                <w:color w:val="FFFFFF" w:themeColor="background1"/>
              </w:rPr>
            </w:pPr>
          </w:p>
        </w:tc>
        <w:tc>
          <w:tcPr>
            <w:tcW w:w="1795" w:type="dxa"/>
            <w:tcBorders>
              <w:top w:val="threeDEmboss" w:sz="24" w:space="0" w:color="00B0F0"/>
              <w:left w:val="single" w:sz="4" w:space="0" w:color="FFFFFF" w:themeColor="background1"/>
              <w:bottom w:val="single" w:sz="4" w:space="0" w:color="FFFFFF" w:themeColor="background1"/>
              <w:right w:val="single" w:sz="4" w:space="0" w:color="FFFFFF" w:themeColor="background1"/>
            </w:tcBorders>
            <w:shd w:val="clear" w:color="auto" w:fill="969696" w:themeFill="accent3"/>
          </w:tcPr>
          <w:p w14:paraId="36CEC6C8" w14:textId="77777777" w:rsidR="003168F8" w:rsidRPr="00662CBC" w:rsidRDefault="003168F8" w:rsidP="006064D6">
            <w:pPr>
              <w:jc w:val="center"/>
            </w:pPr>
          </w:p>
        </w:tc>
        <w:tc>
          <w:tcPr>
            <w:tcW w:w="1495" w:type="dxa"/>
            <w:tcBorders>
              <w:top w:val="threeDEmboss" w:sz="24" w:space="0" w:color="00B0F0"/>
              <w:left w:val="single" w:sz="4" w:space="0" w:color="FFFFFF" w:themeColor="background1"/>
              <w:bottom w:val="single" w:sz="4" w:space="0" w:color="FFFFFF" w:themeColor="background1"/>
              <w:right w:val="threeDEmboss" w:sz="24" w:space="0" w:color="002060"/>
            </w:tcBorders>
            <w:shd w:val="diagCross" w:color="098C44" w:fill="auto"/>
          </w:tcPr>
          <w:p w14:paraId="35ACC7D7" w14:textId="77777777" w:rsidR="003168F8" w:rsidRPr="00662CBC" w:rsidRDefault="003168F8" w:rsidP="006064D6">
            <w:pPr>
              <w:jc w:val="center"/>
            </w:pPr>
            <w:r w:rsidRPr="00662CBC">
              <w:rPr>
                <w:b/>
                <w:bCs/>
                <w:color w:val="FFFFFF" w:themeColor="background1"/>
              </w:rPr>
              <w:t>L - Only public sector</w:t>
            </w:r>
          </w:p>
        </w:tc>
      </w:tr>
      <w:tr w:rsidR="003168F8" w:rsidRPr="00662CBC" w14:paraId="3BFD8C86" w14:textId="77777777" w:rsidTr="00D634B7">
        <w:tc>
          <w:tcPr>
            <w:tcW w:w="426" w:type="dxa"/>
            <w:tcBorders>
              <w:top w:val="single" w:sz="4" w:space="0" w:color="FFFFFF" w:themeColor="background1"/>
              <w:left w:val="threeDEmboss" w:sz="24" w:space="0" w:color="002060"/>
              <w:bottom w:val="single" w:sz="4" w:space="0" w:color="FFFFFF"/>
              <w:right w:val="single" w:sz="4" w:space="0" w:color="FFFFFF" w:themeColor="background1"/>
            </w:tcBorders>
          </w:tcPr>
          <w:p w14:paraId="554AFCDF"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8D3E9F4" w14:textId="77777777" w:rsidR="003168F8" w:rsidRPr="00662CBC" w:rsidRDefault="003168F8" w:rsidP="006064D6">
            <w:r w:rsidRPr="00662CBC">
              <w:t xml:space="preserve">Italy </w:t>
            </w:r>
          </w:p>
        </w:tc>
        <w:tc>
          <w:tcPr>
            <w:tcW w:w="1111" w:type="dxa"/>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C00000"/>
          </w:tcPr>
          <w:p w14:paraId="34C3018B" w14:textId="77777777" w:rsidR="003168F8" w:rsidRPr="00662CBC" w:rsidRDefault="003168F8" w:rsidP="006064D6">
            <w:pPr>
              <w:jc w:val="center"/>
              <w:rPr>
                <w:color w:val="098C44"/>
              </w:rPr>
            </w:pPr>
          </w:p>
        </w:tc>
        <w:tc>
          <w:tcPr>
            <w:tcW w:w="1561" w:type="dxa"/>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098C44"/>
          </w:tcPr>
          <w:p w14:paraId="381F0B69" w14:textId="77777777" w:rsidR="003168F8" w:rsidRPr="00662CBC" w:rsidRDefault="003168F8" w:rsidP="006064D6">
            <w:pPr>
              <w:jc w:val="center"/>
              <w:rPr>
                <w:color w:val="FFFFFF" w:themeColor="background1"/>
              </w:rPr>
            </w:pPr>
            <w:r w:rsidRPr="00662CBC">
              <w:rPr>
                <w:b/>
                <w:bCs/>
                <w:color w:val="FFFFFF" w:themeColor="background1"/>
              </w:rPr>
              <w:t>L</w:t>
            </w:r>
          </w:p>
        </w:tc>
        <w:tc>
          <w:tcPr>
            <w:tcW w:w="1269" w:type="dxa"/>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F2FB93"/>
          </w:tcPr>
          <w:p w14:paraId="1A0593CA" w14:textId="77777777" w:rsidR="003168F8" w:rsidRPr="00662CBC" w:rsidRDefault="003168F8" w:rsidP="006064D6">
            <w:pPr>
              <w:jc w:val="center"/>
            </w:pPr>
          </w:p>
        </w:tc>
        <w:tc>
          <w:tcPr>
            <w:tcW w:w="0" w:type="auto"/>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098C44"/>
          </w:tcPr>
          <w:p w14:paraId="63035B49" w14:textId="77777777" w:rsidR="003168F8" w:rsidRPr="00662CBC" w:rsidRDefault="003168F8" w:rsidP="006064D6">
            <w:pPr>
              <w:jc w:val="center"/>
              <w:rPr>
                <w:b/>
                <w:bCs/>
              </w:rPr>
            </w:pPr>
            <w:r w:rsidRPr="00662CBC">
              <w:rPr>
                <w:b/>
                <w:bCs/>
                <w:color w:val="FFFFFF" w:themeColor="background1"/>
              </w:rPr>
              <w:t>L</w:t>
            </w:r>
          </w:p>
        </w:tc>
        <w:tc>
          <w:tcPr>
            <w:tcW w:w="1275" w:type="dxa"/>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969696" w:themeFill="accent3"/>
          </w:tcPr>
          <w:p w14:paraId="12D1F47C" w14:textId="77777777" w:rsidR="003168F8" w:rsidRPr="00662CBC" w:rsidRDefault="003168F8" w:rsidP="006064D6">
            <w:pPr>
              <w:jc w:val="center"/>
            </w:pPr>
          </w:p>
        </w:tc>
        <w:tc>
          <w:tcPr>
            <w:tcW w:w="1153" w:type="dxa"/>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969696" w:themeFill="accent3"/>
          </w:tcPr>
          <w:p w14:paraId="1B9D0148" w14:textId="77777777" w:rsidR="003168F8" w:rsidRPr="000331EC" w:rsidRDefault="003168F8" w:rsidP="006064D6">
            <w:pPr>
              <w:jc w:val="center"/>
              <w:rPr>
                <w:b/>
                <w:bCs/>
                <w:color w:val="FFFFFF" w:themeColor="background1"/>
              </w:rPr>
            </w:pPr>
          </w:p>
        </w:tc>
        <w:tc>
          <w:tcPr>
            <w:tcW w:w="927" w:type="dxa"/>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969696" w:themeFill="accent3"/>
          </w:tcPr>
          <w:p w14:paraId="7146DE87" w14:textId="77777777" w:rsidR="003168F8" w:rsidRPr="000331EC" w:rsidRDefault="003168F8" w:rsidP="006064D6">
            <w:pPr>
              <w:jc w:val="center"/>
              <w:rPr>
                <w:b/>
                <w:bCs/>
                <w:color w:val="FFFFFF" w:themeColor="background1"/>
              </w:rPr>
            </w:pPr>
          </w:p>
        </w:tc>
        <w:tc>
          <w:tcPr>
            <w:tcW w:w="1270" w:type="dxa"/>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098C44"/>
          </w:tcPr>
          <w:p w14:paraId="46D3C3CC" w14:textId="77777777" w:rsidR="003168F8" w:rsidRPr="000331EC" w:rsidRDefault="003168F8" w:rsidP="006064D6">
            <w:pPr>
              <w:jc w:val="center"/>
              <w:rPr>
                <w:b/>
                <w:bCs/>
                <w:color w:val="FFFFFF" w:themeColor="background1"/>
              </w:rPr>
            </w:pPr>
          </w:p>
        </w:tc>
        <w:tc>
          <w:tcPr>
            <w:tcW w:w="1795" w:type="dxa"/>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098C44"/>
          </w:tcPr>
          <w:p w14:paraId="450B5289" w14:textId="77777777" w:rsidR="003168F8" w:rsidRPr="00662CBC" w:rsidRDefault="003168F8" w:rsidP="006064D6">
            <w:pPr>
              <w:jc w:val="center"/>
              <w:rPr>
                <w:color w:val="FFFFFF" w:themeColor="background1"/>
              </w:rPr>
            </w:pPr>
            <w:r w:rsidRPr="00662CBC">
              <w:rPr>
                <w:color w:val="FFFFFF" w:themeColor="background1"/>
              </w:rPr>
              <w:t>Gen. employment quota for linguistic minorities (not women)</w:t>
            </w:r>
          </w:p>
        </w:tc>
        <w:tc>
          <w:tcPr>
            <w:tcW w:w="1495" w:type="dxa"/>
            <w:tcBorders>
              <w:top w:val="single" w:sz="4" w:space="0" w:color="FFFFFF" w:themeColor="background1"/>
              <w:left w:val="single" w:sz="4" w:space="0" w:color="FFFFFF" w:themeColor="background1"/>
              <w:bottom w:val="single" w:sz="4" w:space="0" w:color="FFFFFF"/>
              <w:right w:val="threeDEmboss" w:sz="24" w:space="0" w:color="002060"/>
            </w:tcBorders>
            <w:shd w:val="clear" w:color="auto" w:fill="098C44"/>
          </w:tcPr>
          <w:p w14:paraId="5E6A1B0C" w14:textId="77777777" w:rsidR="003168F8" w:rsidRPr="00662CBC" w:rsidRDefault="003168F8" w:rsidP="006064D6">
            <w:pPr>
              <w:jc w:val="center"/>
              <w:rPr>
                <w:b/>
                <w:bCs/>
                <w:color w:val="FFFFFF" w:themeColor="background1"/>
              </w:rPr>
            </w:pPr>
          </w:p>
          <w:p w14:paraId="279C8DED" w14:textId="77777777" w:rsidR="003168F8" w:rsidRPr="00662CBC" w:rsidRDefault="003168F8" w:rsidP="006064D6">
            <w:pPr>
              <w:jc w:val="center"/>
              <w:rPr>
                <w:b/>
                <w:bCs/>
              </w:rPr>
            </w:pPr>
            <w:r w:rsidRPr="00662CBC">
              <w:rPr>
                <w:b/>
                <w:bCs/>
                <w:color w:val="FFFFFF" w:themeColor="background1"/>
              </w:rPr>
              <w:t>L</w:t>
            </w:r>
          </w:p>
        </w:tc>
      </w:tr>
      <w:tr w:rsidR="003168F8" w:rsidRPr="00662CBC" w14:paraId="2AAAE115" w14:textId="77777777" w:rsidTr="00FC7192">
        <w:tc>
          <w:tcPr>
            <w:tcW w:w="426" w:type="dxa"/>
            <w:tcBorders>
              <w:top w:val="single" w:sz="4" w:space="0" w:color="FFFFFF"/>
              <w:left w:val="threeDEmboss" w:sz="24" w:space="0" w:color="002060"/>
              <w:bottom w:val="threeDEmboss" w:sz="24" w:space="0" w:color="00B0F0"/>
              <w:right w:val="single" w:sz="4" w:space="0" w:color="FFFFFF" w:themeColor="background1"/>
            </w:tcBorders>
          </w:tcPr>
          <w:p w14:paraId="0904B8D7"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single" w:sz="4" w:space="0" w:color="FFFFFF"/>
              <w:left w:val="single" w:sz="4" w:space="0" w:color="FFFFFF" w:themeColor="background1"/>
              <w:bottom w:val="threeDEmboss" w:sz="24" w:space="0" w:color="00B0F0"/>
              <w:right w:val="single" w:sz="4" w:space="0" w:color="FFFFFF" w:themeColor="background1"/>
            </w:tcBorders>
          </w:tcPr>
          <w:p w14:paraId="1533C083" w14:textId="77777777" w:rsidR="003168F8" w:rsidRPr="00662CBC" w:rsidRDefault="003168F8" w:rsidP="006064D6">
            <w:r w:rsidRPr="00662CBC">
              <w:t xml:space="preserve">Latvia </w:t>
            </w:r>
          </w:p>
        </w:tc>
        <w:tc>
          <w:tcPr>
            <w:tcW w:w="1111" w:type="dxa"/>
            <w:tcBorders>
              <w:top w:val="single" w:sz="4" w:space="0" w:color="FFFFFF"/>
              <w:left w:val="single" w:sz="4" w:space="0" w:color="FFFFFF" w:themeColor="background1"/>
              <w:bottom w:val="threeDEmboss" w:sz="24" w:space="0" w:color="00B0F0"/>
              <w:right w:val="single" w:sz="4" w:space="0" w:color="FFFFFF" w:themeColor="background1"/>
            </w:tcBorders>
            <w:shd w:val="clear" w:color="auto" w:fill="C00000"/>
          </w:tcPr>
          <w:p w14:paraId="7D6D221A" w14:textId="77777777" w:rsidR="003168F8" w:rsidRPr="00662CBC" w:rsidRDefault="003168F8" w:rsidP="006064D6">
            <w:pPr>
              <w:jc w:val="center"/>
              <w:rPr>
                <w:color w:val="FFFFFF" w:themeColor="background1"/>
              </w:rPr>
            </w:pPr>
          </w:p>
        </w:tc>
        <w:tc>
          <w:tcPr>
            <w:tcW w:w="1561" w:type="dxa"/>
            <w:tcBorders>
              <w:top w:val="single" w:sz="4" w:space="0" w:color="FFFFFF"/>
              <w:left w:val="single" w:sz="4" w:space="0" w:color="FFFFFF" w:themeColor="background1"/>
              <w:bottom w:val="threeDEmboss" w:sz="24" w:space="0" w:color="00B0F0"/>
              <w:right w:val="single" w:sz="4" w:space="0" w:color="FFFFFF" w:themeColor="background1"/>
            </w:tcBorders>
            <w:shd w:val="clear" w:color="auto" w:fill="C00000"/>
          </w:tcPr>
          <w:p w14:paraId="5EC22858" w14:textId="77777777" w:rsidR="003168F8" w:rsidRPr="00662CBC" w:rsidRDefault="003168F8" w:rsidP="006064D6">
            <w:pPr>
              <w:jc w:val="center"/>
              <w:rPr>
                <w:color w:val="FFFFFF" w:themeColor="background1"/>
              </w:rPr>
            </w:pPr>
          </w:p>
        </w:tc>
        <w:tc>
          <w:tcPr>
            <w:tcW w:w="1269" w:type="dxa"/>
            <w:tcBorders>
              <w:top w:val="single" w:sz="4" w:space="0" w:color="FFFFFF"/>
              <w:left w:val="single" w:sz="4" w:space="0" w:color="FFFFFF" w:themeColor="background1"/>
              <w:bottom w:val="threeDEmboss" w:sz="24" w:space="0" w:color="00B0F0"/>
              <w:right w:val="single" w:sz="4" w:space="0" w:color="FFFFFF" w:themeColor="background1"/>
            </w:tcBorders>
            <w:shd w:val="clear" w:color="auto" w:fill="969696" w:themeFill="accent3"/>
          </w:tcPr>
          <w:p w14:paraId="59929D32" w14:textId="77777777" w:rsidR="003168F8" w:rsidRPr="00662CBC" w:rsidRDefault="003168F8" w:rsidP="006064D6">
            <w:pPr>
              <w:jc w:val="center"/>
            </w:pPr>
          </w:p>
        </w:tc>
        <w:tc>
          <w:tcPr>
            <w:tcW w:w="0" w:type="auto"/>
            <w:tcBorders>
              <w:top w:val="single" w:sz="4" w:space="0" w:color="FFFFFF"/>
              <w:left w:val="single" w:sz="4" w:space="0" w:color="FFFFFF" w:themeColor="background1"/>
              <w:bottom w:val="threeDEmboss" w:sz="24" w:space="0" w:color="00B0F0"/>
              <w:right w:val="single" w:sz="4" w:space="0" w:color="FFFFFF" w:themeColor="background1"/>
            </w:tcBorders>
            <w:shd w:val="clear" w:color="auto" w:fill="C00000"/>
          </w:tcPr>
          <w:p w14:paraId="68A57036" w14:textId="77777777" w:rsidR="003168F8" w:rsidRPr="00662CBC" w:rsidRDefault="003168F8" w:rsidP="006064D6">
            <w:pPr>
              <w:jc w:val="center"/>
            </w:pPr>
          </w:p>
        </w:tc>
        <w:tc>
          <w:tcPr>
            <w:tcW w:w="1275" w:type="dxa"/>
            <w:tcBorders>
              <w:top w:val="single" w:sz="4" w:space="0" w:color="FFFFFF"/>
              <w:left w:val="single" w:sz="4" w:space="0" w:color="FFFFFF" w:themeColor="background1"/>
              <w:bottom w:val="threeDEmboss" w:sz="24" w:space="0" w:color="00B0F0"/>
              <w:right w:val="single" w:sz="4" w:space="0" w:color="FFFFFF" w:themeColor="background1"/>
            </w:tcBorders>
            <w:shd w:val="clear" w:color="auto" w:fill="C00000"/>
          </w:tcPr>
          <w:p w14:paraId="2DCEBAC9" w14:textId="77777777" w:rsidR="003168F8" w:rsidRPr="00662CBC" w:rsidRDefault="003168F8" w:rsidP="006064D6">
            <w:pPr>
              <w:jc w:val="center"/>
            </w:pPr>
          </w:p>
        </w:tc>
        <w:tc>
          <w:tcPr>
            <w:tcW w:w="1153" w:type="dxa"/>
            <w:tcBorders>
              <w:top w:val="single" w:sz="4" w:space="0" w:color="FFFFFF"/>
              <w:left w:val="single" w:sz="4" w:space="0" w:color="FFFFFF" w:themeColor="background1"/>
              <w:bottom w:val="threeDEmboss" w:sz="24" w:space="0" w:color="00B0F0"/>
              <w:right w:val="single" w:sz="4" w:space="0" w:color="FFFFFF" w:themeColor="background1"/>
            </w:tcBorders>
            <w:shd w:val="clear" w:color="auto" w:fill="969696" w:themeFill="accent3"/>
          </w:tcPr>
          <w:p w14:paraId="6EE06B76" w14:textId="77777777" w:rsidR="003168F8" w:rsidRPr="000331EC" w:rsidRDefault="003168F8" w:rsidP="006064D6">
            <w:pPr>
              <w:jc w:val="center"/>
              <w:rPr>
                <w:b/>
                <w:bCs/>
                <w:color w:val="FFFFFF" w:themeColor="background1"/>
              </w:rPr>
            </w:pPr>
          </w:p>
        </w:tc>
        <w:tc>
          <w:tcPr>
            <w:tcW w:w="927" w:type="dxa"/>
            <w:tcBorders>
              <w:top w:val="single" w:sz="4" w:space="0" w:color="FFFFFF"/>
              <w:left w:val="single" w:sz="4" w:space="0" w:color="FFFFFF" w:themeColor="background1"/>
              <w:bottom w:val="threeDEmboss" w:sz="24" w:space="0" w:color="00B0F0"/>
              <w:right w:val="single" w:sz="4" w:space="0" w:color="FFFFFF" w:themeColor="background1"/>
            </w:tcBorders>
            <w:shd w:val="clear" w:color="auto" w:fill="969696" w:themeFill="accent3"/>
          </w:tcPr>
          <w:p w14:paraId="328781C8" w14:textId="77777777" w:rsidR="003168F8" w:rsidRPr="000331EC" w:rsidRDefault="003168F8" w:rsidP="006064D6">
            <w:pPr>
              <w:jc w:val="center"/>
              <w:rPr>
                <w:b/>
                <w:bCs/>
                <w:color w:val="FFFFFF" w:themeColor="background1"/>
              </w:rPr>
            </w:pPr>
          </w:p>
        </w:tc>
        <w:tc>
          <w:tcPr>
            <w:tcW w:w="1270" w:type="dxa"/>
            <w:tcBorders>
              <w:top w:val="single" w:sz="4" w:space="0" w:color="FFFFFF"/>
              <w:left w:val="single" w:sz="4" w:space="0" w:color="FFFFFF" w:themeColor="background1"/>
              <w:bottom w:val="threeDEmboss" w:sz="24" w:space="0" w:color="00B0F0"/>
              <w:right w:val="single" w:sz="4" w:space="0" w:color="FFFFFF" w:themeColor="background1"/>
            </w:tcBorders>
            <w:shd w:val="clear" w:color="auto" w:fill="098C44"/>
          </w:tcPr>
          <w:p w14:paraId="138AAF80" w14:textId="77777777" w:rsidR="003168F8" w:rsidRPr="000331EC" w:rsidRDefault="003168F8" w:rsidP="006064D6">
            <w:pPr>
              <w:jc w:val="center"/>
              <w:rPr>
                <w:b/>
                <w:bCs/>
                <w:color w:val="FFFFFF" w:themeColor="background1"/>
              </w:rPr>
            </w:pPr>
          </w:p>
        </w:tc>
        <w:tc>
          <w:tcPr>
            <w:tcW w:w="1795" w:type="dxa"/>
            <w:tcBorders>
              <w:top w:val="single" w:sz="4" w:space="0" w:color="FFFFFF"/>
              <w:left w:val="single" w:sz="4" w:space="0" w:color="FFFFFF" w:themeColor="background1"/>
              <w:bottom w:val="threeDEmboss" w:sz="24" w:space="0" w:color="00B0F0"/>
              <w:right w:val="single" w:sz="4" w:space="0" w:color="FFFFFF" w:themeColor="background1"/>
            </w:tcBorders>
            <w:shd w:val="clear" w:color="auto" w:fill="92D050"/>
          </w:tcPr>
          <w:p w14:paraId="4A7B6CCF" w14:textId="77777777" w:rsidR="003168F8" w:rsidRPr="00662CBC" w:rsidRDefault="003168F8" w:rsidP="006064D6">
            <w:pPr>
              <w:jc w:val="center"/>
            </w:pPr>
            <w:r w:rsidRPr="00662CBC">
              <w:rPr>
                <w:b/>
                <w:bCs/>
              </w:rPr>
              <w:t>Judiciary</w:t>
            </w:r>
          </w:p>
        </w:tc>
        <w:tc>
          <w:tcPr>
            <w:tcW w:w="1495" w:type="dxa"/>
            <w:tcBorders>
              <w:top w:val="single" w:sz="4" w:space="0" w:color="FFFFFF"/>
              <w:left w:val="single" w:sz="4" w:space="0" w:color="FFFFFF" w:themeColor="background1"/>
              <w:bottom w:val="threeDEmboss" w:sz="24" w:space="0" w:color="00B0F0"/>
              <w:right w:val="threeDEmboss" w:sz="24" w:space="0" w:color="002060"/>
            </w:tcBorders>
            <w:shd w:val="clear" w:color="auto" w:fill="C00000"/>
          </w:tcPr>
          <w:p w14:paraId="7C0A1A96" w14:textId="77777777" w:rsidR="003168F8" w:rsidRPr="00662CBC" w:rsidRDefault="003168F8" w:rsidP="006064D6">
            <w:pPr>
              <w:jc w:val="center"/>
            </w:pPr>
          </w:p>
        </w:tc>
      </w:tr>
      <w:tr w:rsidR="003168F8" w:rsidRPr="00662CBC" w14:paraId="76CE7FFF" w14:textId="77777777" w:rsidTr="00A77751">
        <w:tc>
          <w:tcPr>
            <w:tcW w:w="426" w:type="dxa"/>
            <w:tcBorders>
              <w:top w:val="threeDEmboss" w:sz="24" w:space="0" w:color="00B0F0"/>
              <w:left w:val="threeDEmboss" w:sz="24" w:space="0" w:color="00B0F0"/>
              <w:bottom w:val="threeDEmboss" w:sz="24" w:space="0" w:color="00B0F0"/>
              <w:right w:val="single" w:sz="4" w:space="0" w:color="FFFFFF"/>
            </w:tcBorders>
          </w:tcPr>
          <w:p w14:paraId="7889AE61"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threeDEmboss" w:sz="24" w:space="0" w:color="00B0F0"/>
              <w:left w:val="single" w:sz="4" w:space="0" w:color="FFFFFF"/>
              <w:bottom w:val="threeDEmboss" w:sz="24" w:space="0" w:color="00B0F0"/>
              <w:right w:val="single" w:sz="4" w:space="0" w:color="FFFFFF"/>
            </w:tcBorders>
          </w:tcPr>
          <w:p w14:paraId="54F3B194" w14:textId="77777777" w:rsidR="003168F8" w:rsidRPr="00662CBC" w:rsidRDefault="003168F8" w:rsidP="006064D6">
            <w:r w:rsidRPr="00662CBC">
              <w:t xml:space="preserve">Liechtenstein </w:t>
            </w:r>
          </w:p>
        </w:tc>
        <w:tc>
          <w:tcPr>
            <w:tcW w:w="1111" w:type="dxa"/>
            <w:tcBorders>
              <w:top w:val="threeDEmboss" w:sz="24" w:space="0" w:color="00B0F0"/>
              <w:left w:val="single" w:sz="4" w:space="0" w:color="FFFFFF"/>
              <w:bottom w:val="threeDEmboss" w:sz="24" w:space="0" w:color="00B0F0"/>
              <w:right w:val="single" w:sz="4" w:space="0" w:color="FFFFFF"/>
            </w:tcBorders>
            <w:shd w:val="clear" w:color="auto" w:fill="C00000"/>
          </w:tcPr>
          <w:p w14:paraId="23F05BCD" w14:textId="77777777" w:rsidR="003168F8" w:rsidRPr="00662CBC" w:rsidRDefault="003168F8" w:rsidP="006064D6">
            <w:pPr>
              <w:jc w:val="center"/>
              <w:rPr>
                <w:color w:val="FFFFFF" w:themeColor="background1"/>
              </w:rPr>
            </w:pPr>
          </w:p>
        </w:tc>
        <w:tc>
          <w:tcPr>
            <w:tcW w:w="1561" w:type="dxa"/>
            <w:tcBorders>
              <w:top w:val="threeDEmboss" w:sz="24" w:space="0" w:color="00B0F0"/>
              <w:left w:val="single" w:sz="4" w:space="0" w:color="FFFFFF"/>
              <w:bottom w:val="threeDEmboss" w:sz="24" w:space="0" w:color="00B0F0"/>
              <w:right w:val="single" w:sz="4" w:space="0" w:color="FFFFFF"/>
            </w:tcBorders>
            <w:shd w:val="clear" w:color="auto" w:fill="C00000"/>
          </w:tcPr>
          <w:p w14:paraId="56FE8390" w14:textId="77777777" w:rsidR="003168F8" w:rsidRPr="00662CBC" w:rsidRDefault="003168F8" w:rsidP="006064D6">
            <w:pPr>
              <w:jc w:val="center"/>
              <w:rPr>
                <w:color w:val="FFFFFF" w:themeColor="background1"/>
              </w:rPr>
            </w:pPr>
          </w:p>
        </w:tc>
        <w:tc>
          <w:tcPr>
            <w:tcW w:w="1269" w:type="dxa"/>
            <w:tcBorders>
              <w:top w:val="threeDEmboss" w:sz="24" w:space="0" w:color="00B0F0"/>
              <w:left w:val="single" w:sz="4" w:space="0" w:color="FFFFFF"/>
              <w:bottom w:val="threeDEmboss" w:sz="24" w:space="0" w:color="00B0F0"/>
              <w:right w:val="single" w:sz="4" w:space="0" w:color="FFFFFF"/>
            </w:tcBorders>
            <w:shd w:val="clear" w:color="auto" w:fill="969696" w:themeFill="accent3"/>
          </w:tcPr>
          <w:p w14:paraId="7D0A1F13" w14:textId="77777777" w:rsidR="003168F8" w:rsidRPr="00662CBC" w:rsidRDefault="003168F8" w:rsidP="006064D6">
            <w:pPr>
              <w:jc w:val="center"/>
            </w:pPr>
          </w:p>
        </w:tc>
        <w:tc>
          <w:tcPr>
            <w:tcW w:w="0" w:type="auto"/>
            <w:tcBorders>
              <w:top w:val="threeDEmboss" w:sz="24" w:space="0" w:color="00B0F0"/>
              <w:left w:val="single" w:sz="4" w:space="0" w:color="FFFFFF"/>
              <w:bottom w:val="threeDEmboss" w:sz="24" w:space="0" w:color="00B0F0"/>
              <w:right w:val="single" w:sz="4" w:space="0" w:color="FFFFFF"/>
            </w:tcBorders>
            <w:shd w:val="clear" w:color="auto" w:fill="C00000"/>
          </w:tcPr>
          <w:p w14:paraId="08570E19" w14:textId="77777777" w:rsidR="003168F8" w:rsidRPr="00662CBC" w:rsidRDefault="003168F8" w:rsidP="006064D6">
            <w:pPr>
              <w:jc w:val="center"/>
            </w:pPr>
          </w:p>
        </w:tc>
        <w:tc>
          <w:tcPr>
            <w:tcW w:w="1275" w:type="dxa"/>
            <w:tcBorders>
              <w:top w:val="threeDEmboss" w:sz="24" w:space="0" w:color="00B0F0"/>
              <w:left w:val="single" w:sz="4" w:space="0" w:color="FFFFFF"/>
              <w:bottom w:val="threeDEmboss" w:sz="24" w:space="0" w:color="00B0F0"/>
              <w:right w:val="single" w:sz="4" w:space="0" w:color="FFFFFF"/>
            </w:tcBorders>
            <w:shd w:val="clear" w:color="auto" w:fill="C00000"/>
          </w:tcPr>
          <w:p w14:paraId="0EC481AB" w14:textId="77777777" w:rsidR="003168F8" w:rsidRPr="00662CBC" w:rsidRDefault="003168F8" w:rsidP="006064D6">
            <w:pPr>
              <w:jc w:val="center"/>
            </w:pPr>
          </w:p>
        </w:tc>
        <w:tc>
          <w:tcPr>
            <w:tcW w:w="1153" w:type="dxa"/>
            <w:tcBorders>
              <w:top w:val="threeDEmboss" w:sz="24" w:space="0" w:color="00B0F0"/>
              <w:left w:val="single" w:sz="4" w:space="0" w:color="FFFFFF"/>
              <w:bottom w:val="threeDEmboss" w:sz="24" w:space="0" w:color="00B0F0"/>
              <w:right w:val="single" w:sz="4" w:space="0" w:color="FFFFFF"/>
            </w:tcBorders>
            <w:shd w:val="clear" w:color="auto" w:fill="969696" w:themeFill="accent3"/>
          </w:tcPr>
          <w:p w14:paraId="23AF3385" w14:textId="77777777" w:rsidR="003168F8" w:rsidRPr="000331EC" w:rsidRDefault="003168F8" w:rsidP="006064D6">
            <w:pPr>
              <w:jc w:val="center"/>
              <w:rPr>
                <w:b/>
                <w:bCs/>
                <w:color w:val="FFFFFF" w:themeColor="background1"/>
              </w:rPr>
            </w:pPr>
          </w:p>
        </w:tc>
        <w:tc>
          <w:tcPr>
            <w:tcW w:w="927" w:type="dxa"/>
            <w:tcBorders>
              <w:top w:val="threeDEmboss" w:sz="24" w:space="0" w:color="00B0F0"/>
              <w:left w:val="single" w:sz="4" w:space="0" w:color="FFFFFF"/>
              <w:bottom w:val="threeDEmboss" w:sz="24" w:space="0" w:color="00B0F0"/>
              <w:right w:val="single" w:sz="4" w:space="0" w:color="FFFFFF"/>
            </w:tcBorders>
            <w:shd w:val="clear" w:color="auto" w:fill="C00000"/>
          </w:tcPr>
          <w:p w14:paraId="13584A37" w14:textId="60B1CC48" w:rsidR="003168F8" w:rsidRPr="000331EC" w:rsidRDefault="00A77751" w:rsidP="006064D6">
            <w:pPr>
              <w:jc w:val="center"/>
              <w:rPr>
                <w:b/>
                <w:bCs/>
                <w:color w:val="FFFFFF" w:themeColor="background1"/>
              </w:rPr>
            </w:pPr>
            <w:r>
              <w:t>No armed forces</w:t>
            </w:r>
          </w:p>
        </w:tc>
        <w:tc>
          <w:tcPr>
            <w:tcW w:w="1270" w:type="dxa"/>
            <w:tcBorders>
              <w:top w:val="threeDEmboss" w:sz="24" w:space="0" w:color="00B0F0"/>
              <w:left w:val="single" w:sz="4" w:space="0" w:color="FFFFFF"/>
              <w:bottom w:val="threeDEmboss" w:sz="24" w:space="0" w:color="00B0F0"/>
              <w:right w:val="single" w:sz="4" w:space="0" w:color="FFFFFF"/>
            </w:tcBorders>
            <w:shd w:val="clear" w:color="auto" w:fill="C00000"/>
          </w:tcPr>
          <w:p w14:paraId="3D23CBBD" w14:textId="77777777" w:rsidR="003168F8" w:rsidRPr="000331EC" w:rsidRDefault="003168F8" w:rsidP="006064D6">
            <w:pPr>
              <w:jc w:val="center"/>
              <w:rPr>
                <w:b/>
                <w:bCs/>
                <w:color w:val="FFFFFF" w:themeColor="background1"/>
              </w:rPr>
            </w:pPr>
          </w:p>
        </w:tc>
        <w:tc>
          <w:tcPr>
            <w:tcW w:w="1795" w:type="dxa"/>
            <w:tcBorders>
              <w:top w:val="threeDEmboss" w:sz="24" w:space="0" w:color="00B0F0"/>
              <w:left w:val="single" w:sz="4" w:space="0" w:color="FFFFFF"/>
              <w:bottom w:val="threeDEmboss" w:sz="24" w:space="0" w:color="00B0F0"/>
              <w:right w:val="single" w:sz="4" w:space="0" w:color="FFFFFF"/>
            </w:tcBorders>
            <w:shd w:val="clear" w:color="auto" w:fill="969696" w:themeFill="accent3"/>
          </w:tcPr>
          <w:p w14:paraId="214BEE80" w14:textId="77777777" w:rsidR="003168F8" w:rsidRPr="00662CBC" w:rsidRDefault="003168F8" w:rsidP="006064D6">
            <w:pPr>
              <w:jc w:val="center"/>
            </w:pPr>
          </w:p>
        </w:tc>
        <w:tc>
          <w:tcPr>
            <w:tcW w:w="1495" w:type="dxa"/>
            <w:tcBorders>
              <w:top w:val="threeDEmboss" w:sz="24" w:space="0" w:color="00B0F0"/>
              <w:left w:val="single" w:sz="4" w:space="0" w:color="FFFFFF"/>
              <w:bottom w:val="threeDEmboss" w:sz="24" w:space="0" w:color="00B0F0"/>
              <w:right w:val="threeDEmboss" w:sz="24" w:space="0" w:color="00B0F0"/>
            </w:tcBorders>
            <w:shd w:val="clear" w:color="auto" w:fill="C00000"/>
          </w:tcPr>
          <w:p w14:paraId="790959FF" w14:textId="77777777" w:rsidR="003168F8" w:rsidRPr="00662CBC" w:rsidRDefault="003168F8" w:rsidP="006064D6">
            <w:pPr>
              <w:jc w:val="center"/>
            </w:pPr>
          </w:p>
        </w:tc>
      </w:tr>
      <w:tr w:rsidR="003168F8" w:rsidRPr="00662CBC" w14:paraId="64955158" w14:textId="77777777" w:rsidTr="00735F32">
        <w:tc>
          <w:tcPr>
            <w:tcW w:w="426" w:type="dxa"/>
            <w:tcBorders>
              <w:top w:val="threeDEmboss" w:sz="24" w:space="0" w:color="00B0F0"/>
              <w:left w:val="threeDEmboss" w:sz="24" w:space="0" w:color="002060"/>
              <w:bottom w:val="single" w:sz="4" w:space="0" w:color="FFFFFF"/>
              <w:right w:val="single" w:sz="4" w:space="0" w:color="FFFFFF"/>
            </w:tcBorders>
          </w:tcPr>
          <w:p w14:paraId="6B115D49"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threeDEmboss" w:sz="24" w:space="0" w:color="00B0F0"/>
              <w:left w:val="single" w:sz="4" w:space="0" w:color="FFFFFF"/>
              <w:bottom w:val="single" w:sz="4" w:space="0" w:color="FFFFFF"/>
              <w:right w:val="single" w:sz="4" w:space="0" w:color="FFFFFF"/>
            </w:tcBorders>
          </w:tcPr>
          <w:p w14:paraId="143498E8" w14:textId="77777777" w:rsidR="003168F8" w:rsidRPr="00662CBC" w:rsidRDefault="003168F8" w:rsidP="006064D6">
            <w:r w:rsidRPr="00662CBC">
              <w:t xml:space="preserve">Lithuania </w:t>
            </w:r>
          </w:p>
        </w:tc>
        <w:tc>
          <w:tcPr>
            <w:tcW w:w="1111" w:type="dxa"/>
            <w:tcBorders>
              <w:top w:val="threeDEmboss" w:sz="24" w:space="0" w:color="00B0F0"/>
              <w:left w:val="single" w:sz="4" w:space="0" w:color="FFFFFF"/>
              <w:bottom w:val="single" w:sz="4" w:space="0" w:color="FFFFFF"/>
              <w:right w:val="single" w:sz="4" w:space="0" w:color="FFFFFF"/>
            </w:tcBorders>
            <w:shd w:val="clear" w:color="auto" w:fill="C00000"/>
          </w:tcPr>
          <w:p w14:paraId="40DAB899" w14:textId="77777777" w:rsidR="003168F8" w:rsidRPr="00662CBC" w:rsidRDefault="003168F8" w:rsidP="006064D6">
            <w:pPr>
              <w:jc w:val="center"/>
              <w:rPr>
                <w:color w:val="FFFFFF" w:themeColor="background1"/>
              </w:rPr>
            </w:pPr>
          </w:p>
        </w:tc>
        <w:tc>
          <w:tcPr>
            <w:tcW w:w="1561" w:type="dxa"/>
            <w:tcBorders>
              <w:top w:val="threeDEmboss" w:sz="24" w:space="0" w:color="00B0F0"/>
              <w:left w:val="single" w:sz="4" w:space="0" w:color="FFFFFF"/>
              <w:bottom w:val="single" w:sz="4" w:space="0" w:color="FFFFFF"/>
              <w:right w:val="single" w:sz="4" w:space="0" w:color="FFFFFF"/>
            </w:tcBorders>
            <w:shd w:val="clear" w:color="auto" w:fill="C00000"/>
          </w:tcPr>
          <w:p w14:paraId="21E8A7E4" w14:textId="77777777" w:rsidR="003168F8" w:rsidRPr="00662CBC" w:rsidRDefault="003168F8" w:rsidP="006064D6">
            <w:pPr>
              <w:jc w:val="center"/>
              <w:rPr>
                <w:color w:val="FFFFFF" w:themeColor="background1"/>
              </w:rPr>
            </w:pPr>
          </w:p>
        </w:tc>
        <w:tc>
          <w:tcPr>
            <w:tcW w:w="1269" w:type="dxa"/>
            <w:tcBorders>
              <w:top w:val="threeDEmboss" w:sz="24" w:space="0" w:color="00B0F0"/>
              <w:left w:val="single" w:sz="4" w:space="0" w:color="FFFFFF"/>
              <w:bottom w:val="single" w:sz="4" w:space="0" w:color="FFFFFF"/>
              <w:right w:val="single" w:sz="4" w:space="0" w:color="FFFFFF"/>
            </w:tcBorders>
            <w:shd w:val="clear" w:color="auto" w:fill="F2FB93"/>
          </w:tcPr>
          <w:p w14:paraId="757D954A" w14:textId="77777777" w:rsidR="003168F8" w:rsidRPr="00662CBC" w:rsidRDefault="003168F8" w:rsidP="006064D6">
            <w:pPr>
              <w:jc w:val="center"/>
            </w:pPr>
          </w:p>
        </w:tc>
        <w:tc>
          <w:tcPr>
            <w:tcW w:w="0" w:type="auto"/>
            <w:tcBorders>
              <w:top w:val="threeDEmboss" w:sz="24" w:space="0" w:color="00B0F0"/>
              <w:left w:val="single" w:sz="4" w:space="0" w:color="FFFFFF"/>
              <w:bottom w:val="single" w:sz="4" w:space="0" w:color="FFFFFF"/>
              <w:right w:val="single" w:sz="4" w:space="0" w:color="FFFFFF"/>
            </w:tcBorders>
            <w:shd w:val="clear" w:color="auto" w:fill="C00000"/>
          </w:tcPr>
          <w:p w14:paraId="6DD53250" w14:textId="77777777" w:rsidR="003168F8" w:rsidRPr="00662CBC" w:rsidRDefault="003168F8" w:rsidP="006064D6">
            <w:pPr>
              <w:jc w:val="center"/>
            </w:pPr>
          </w:p>
        </w:tc>
        <w:tc>
          <w:tcPr>
            <w:tcW w:w="1275" w:type="dxa"/>
            <w:tcBorders>
              <w:top w:val="threeDEmboss" w:sz="24" w:space="0" w:color="00B0F0"/>
              <w:left w:val="single" w:sz="4" w:space="0" w:color="FFFFFF"/>
              <w:bottom w:val="single" w:sz="4" w:space="0" w:color="FFFFFF"/>
              <w:right w:val="single" w:sz="4" w:space="0" w:color="FFFFFF"/>
            </w:tcBorders>
            <w:shd w:val="clear" w:color="auto" w:fill="C00000"/>
          </w:tcPr>
          <w:p w14:paraId="26F81FC6" w14:textId="77777777" w:rsidR="003168F8" w:rsidRPr="00662CBC" w:rsidRDefault="003168F8" w:rsidP="006064D6">
            <w:pPr>
              <w:jc w:val="center"/>
            </w:pPr>
          </w:p>
        </w:tc>
        <w:tc>
          <w:tcPr>
            <w:tcW w:w="1153" w:type="dxa"/>
            <w:tcBorders>
              <w:top w:val="threeDEmboss" w:sz="24" w:space="0" w:color="00B0F0"/>
              <w:left w:val="single" w:sz="4" w:space="0" w:color="FFFFFF"/>
              <w:bottom w:val="single" w:sz="4" w:space="0" w:color="FFFFFF"/>
              <w:right w:val="single" w:sz="4" w:space="0" w:color="FFFFFF"/>
            </w:tcBorders>
            <w:shd w:val="clear" w:color="auto" w:fill="C00000"/>
          </w:tcPr>
          <w:p w14:paraId="17E7BA63" w14:textId="77777777" w:rsidR="003168F8" w:rsidRPr="000331EC" w:rsidRDefault="003168F8" w:rsidP="006064D6">
            <w:pPr>
              <w:jc w:val="center"/>
              <w:rPr>
                <w:b/>
                <w:bCs/>
                <w:color w:val="FFFFFF" w:themeColor="background1"/>
              </w:rPr>
            </w:pPr>
          </w:p>
        </w:tc>
        <w:tc>
          <w:tcPr>
            <w:tcW w:w="927" w:type="dxa"/>
            <w:tcBorders>
              <w:top w:val="threeDEmboss" w:sz="24" w:space="0" w:color="00B0F0"/>
              <w:left w:val="single" w:sz="4" w:space="0" w:color="FFFFFF"/>
              <w:bottom w:val="single" w:sz="4" w:space="0" w:color="FFFFFF"/>
              <w:right w:val="single" w:sz="4" w:space="0" w:color="FFFFFF"/>
            </w:tcBorders>
            <w:shd w:val="clear" w:color="auto" w:fill="C00000"/>
          </w:tcPr>
          <w:p w14:paraId="2FE61812" w14:textId="77777777" w:rsidR="003168F8" w:rsidRPr="000331EC" w:rsidRDefault="003168F8" w:rsidP="006064D6">
            <w:pPr>
              <w:jc w:val="center"/>
              <w:rPr>
                <w:b/>
                <w:bCs/>
                <w:color w:val="FFFFFF" w:themeColor="background1"/>
              </w:rPr>
            </w:pPr>
          </w:p>
        </w:tc>
        <w:tc>
          <w:tcPr>
            <w:tcW w:w="1270" w:type="dxa"/>
            <w:tcBorders>
              <w:top w:val="threeDEmboss" w:sz="24" w:space="0" w:color="00B0F0"/>
              <w:left w:val="single" w:sz="4" w:space="0" w:color="FFFFFF"/>
              <w:bottom w:val="single" w:sz="4" w:space="0" w:color="FFFFFF"/>
              <w:right w:val="single" w:sz="4" w:space="0" w:color="FFFFFF"/>
            </w:tcBorders>
            <w:shd w:val="clear" w:color="auto" w:fill="098C44"/>
          </w:tcPr>
          <w:p w14:paraId="2936358B" w14:textId="77777777" w:rsidR="003168F8" w:rsidRPr="000331EC" w:rsidRDefault="003168F8" w:rsidP="006064D6">
            <w:pPr>
              <w:jc w:val="center"/>
              <w:rPr>
                <w:b/>
                <w:bCs/>
                <w:color w:val="FFFFFF" w:themeColor="background1"/>
              </w:rPr>
            </w:pPr>
          </w:p>
        </w:tc>
        <w:tc>
          <w:tcPr>
            <w:tcW w:w="1795" w:type="dxa"/>
            <w:tcBorders>
              <w:top w:val="threeDEmboss" w:sz="24" w:space="0" w:color="00B0F0"/>
              <w:left w:val="single" w:sz="4" w:space="0" w:color="FFFFFF"/>
              <w:bottom w:val="single" w:sz="4" w:space="0" w:color="FFFFFF"/>
              <w:right w:val="single" w:sz="4" w:space="0" w:color="FFFFFF"/>
            </w:tcBorders>
            <w:shd w:val="clear" w:color="auto" w:fill="969696" w:themeFill="accent3"/>
          </w:tcPr>
          <w:p w14:paraId="1FB0E885" w14:textId="77777777" w:rsidR="003168F8" w:rsidRPr="00662CBC" w:rsidRDefault="003168F8" w:rsidP="006064D6">
            <w:pPr>
              <w:jc w:val="center"/>
            </w:pPr>
          </w:p>
        </w:tc>
        <w:tc>
          <w:tcPr>
            <w:tcW w:w="1495" w:type="dxa"/>
            <w:tcBorders>
              <w:top w:val="threeDEmboss" w:sz="24" w:space="0" w:color="00B0F0"/>
              <w:left w:val="single" w:sz="4" w:space="0" w:color="FFFFFF"/>
              <w:bottom w:val="single" w:sz="4" w:space="0" w:color="FFFFFF"/>
              <w:right w:val="threeDEmboss" w:sz="24" w:space="0" w:color="002060"/>
            </w:tcBorders>
            <w:shd w:val="clear" w:color="auto" w:fill="C00000"/>
          </w:tcPr>
          <w:p w14:paraId="60D4F3AE" w14:textId="77777777" w:rsidR="003168F8" w:rsidRPr="00662CBC" w:rsidRDefault="003168F8" w:rsidP="006064D6">
            <w:pPr>
              <w:jc w:val="center"/>
              <w:rPr>
                <w:b/>
                <w:bCs/>
                <w:color w:val="FFFFFF" w:themeColor="background1"/>
              </w:rPr>
            </w:pPr>
          </w:p>
        </w:tc>
      </w:tr>
      <w:tr w:rsidR="003168F8" w:rsidRPr="00662CBC" w14:paraId="767F92A9" w14:textId="77777777" w:rsidTr="00ED6161">
        <w:tc>
          <w:tcPr>
            <w:tcW w:w="426" w:type="dxa"/>
            <w:tcBorders>
              <w:top w:val="single" w:sz="4" w:space="0" w:color="FFFFFF"/>
              <w:left w:val="threeDEmboss" w:sz="24" w:space="0" w:color="002060"/>
              <w:bottom w:val="single" w:sz="4" w:space="0" w:color="FFFFFF"/>
              <w:right w:val="single" w:sz="4" w:space="0" w:color="FFFFFF"/>
            </w:tcBorders>
          </w:tcPr>
          <w:p w14:paraId="4F5E95D4"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single" w:sz="4" w:space="0" w:color="FFFFFF"/>
              <w:left w:val="single" w:sz="4" w:space="0" w:color="FFFFFF"/>
              <w:bottom w:val="single" w:sz="4" w:space="0" w:color="FFFFFF"/>
              <w:right w:val="single" w:sz="4" w:space="0" w:color="FFFFFF"/>
            </w:tcBorders>
          </w:tcPr>
          <w:p w14:paraId="7AA6BF54" w14:textId="77777777" w:rsidR="003168F8" w:rsidRPr="00662CBC" w:rsidRDefault="003168F8" w:rsidP="006064D6">
            <w:r w:rsidRPr="00662CBC">
              <w:t>Luxembourg</w:t>
            </w:r>
          </w:p>
        </w:tc>
        <w:tc>
          <w:tcPr>
            <w:tcW w:w="1111" w:type="dxa"/>
            <w:tcBorders>
              <w:top w:val="single" w:sz="4" w:space="0" w:color="FFFFFF"/>
              <w:left w:val="single" w:sz="4" w:space="0" w:color="FFFFFF"/>
              <w:bottom w:val="single" w:sz="4" w:space="0" w:color="FFFFFF"/>
              <w:right w:val="single" w:sz="4" w:space="0" w:color="FFFFFF"/>
            </w:tcBorders>
            <w:shd w:val="clear" w:color="auto" w:fill="C00000"/>
          </w:tcPr>
          <w:p w14:paraId="6A06E722" w14:textId="77777777" w:rsidR="003168F8" w:rsidRPr="00662CBC" w:rsidRDefault="003168F8" w:rsidP="006064D6">
            <w:pPr>
              <w:jc w:val="center"/>
              <w:rPr>
                <w:b/>
                <w:bCs/>
                <w:color w:val="FFFFFF" w:themeColor="background1"/>
              </w:rPr>
            </w:pPr>
          </w:p>
        </w:tc>
        <w:tc>
          <w:tcPr>
            <w:tcW w:w="1561" w:type="dxa"/>
            <w:tcBorders>
              <w:top w:val="single" w:sz="4" w:space="0" w:color="FFFFFF"/>
              <w:left w:val="single" w:sz="4" w:space="0" w:color="FFFFFF"/>
              <w:bottom w:val="single" w:sz="4" w:space="0" w:color="FFFFFF"/>
              <w:right w:val="single" w:sz="4" w:space="0" w:color="FFFFFF"/>
            </w:tcBorders>
            <w:shd w:val="clear" w:color="auto" w:fill="098C44"/>
          </w:tcPr>
          <w:p w14:paraId="25DDF9AA" w14:textId="77777777" w:rsidR="003168F8" w:rsidRPr="00662CBC" w:rsidRDefault="003168F8" w:rsidP="006064D6">
            <w:pPr>
              <w:jc w:val="center"/>
              <w:rPr>
                <w:color w:val="FFFFFF" w:themeColor="background1"/>
              </w:rPr>
            </w:pPr>
            <w:r w:rsidRPr="00662CBC">
              <w:rPr>
                <w:b/>
                <w:bCs/>
                <w:color w:val="FFFFFF" w:themeColor="background1"/>
              </w:rPr>
              <w:t>L</w:t>
            </w:r>
          </w:p>
        </w:tc>
        <w:tc>
          <w:tcPr>
            <w:tcW w:w="1269" w:type="dxa"/>
            <w:tcBorders>
              <w:top w:val="single" w:sz="4" w:space="0" w:color="FFFFFF"/>
              <w:left w:val="single" w:sz="4" w:space="0" w:color="FFFFFF"/>
              <w:bottom w:val="single" w:sz="4" w:space="0" w:color="FFFFFF"/>
              <w:right w:val="single" w:sz="4" w:space="0" w:color="FFFFFF"/>
            </w:tcBorders>
            <w:shd w:val="clear" w:color="auto" w:fill="F2FB93"/>
          </w:tcPr>
          <w:p w14:paraId="4FBFC154" w14:textId="77777777" w:rsidR="003168F8" w:rsidRPr="00662CBC" w:rsidRDefault="003168F8" w:rsidP="006064D6">
            <w:pPr>
              <w:jc w:val="center"/>
            </w:pPr>
          </w:p>
        </w:tc>
        <w:tc>
          <w:tcPr>
            <w:tcW w:w="0" w:type="auto"/>
            <w:tcBorders>
              <w:top w:val="single" w:sz="4" w:space="0" w:color="FFFFFF"/>
              <w:left w:val="single" w:sz="4" w:space="0" w:color="FFFFFF"/>
              <w:bottom w:val="single" w:sz="4" w:space="0" w:color="FFFFFF"/>
              <w:right w:val="single" w:sz="4" w:space="0" w:color="FFFFFF"/>
            </w:tcBorders>
            <w:shd w:val="diagCross" w:color="098C44" w:fill="auto"/>
          </w:tcPr>
          <w:p w14:paraId="0A6893CD" w14:textId="77777777" w:rsidR="003168F8" w:rsidRPr="00662CBC" w:rsidRDefault="003168F8" w:rsidP="006064D6">
            <w:pPr>
              <w:jc w:val="center"/>
              <w:rPr>
                <w:b/>
                <w:bCs/>
              </w:rPr>
            </w:pPr>
            <w:r w:rsidRPr="00662CBC">
              <w:rPr>
                <w:b/>
                <w:bCs/>
                <w:color w:val="FFFFFF" w:themeColor="background1"/>
              </w:rPr>
              <w:t>Public</w:t>
            </w:r>
          </w:p>
        </w:tc>
        <w:tc>
          <w:tcPr>
            <w:tcW w:w="1275" w:type="dxa"/>
            <w:tcBorders>
              <w:top w:val="single" w:sz="4" w:space="0" w:color="FFFFFF"/>
              <w:left w:val="single" w:sz="4" w:space="0" w:color="FFFFFF"/>
              <w:bottom w:val="single" w:sz="4" w:space="0" w:color="FFFFFF"/>
              <w:right w:val="single" w:sz="4" w:space="0" w:color="FFFFFF"/>
            </w:tcBorders>
            <w:shd w:val="clear" w:color="auto" w:fill="C00000"/>
          </w:tcPr>
          <w:p w14:paraId="68FAE29B" w14:textId="77777777" w:rsidR="003168F8" w:rsidRPr="00662CBC" w:rsidRDefault="003168F8" w:rsidP="006064D6">
            <w:pPr>
              <w:jc w:val="center"/>
              <w:rPr>
                <w:b/>
                <w:bCs/>
              </w:rPr>
            </w:pPr>
          </w:p>
        </w:tc>
        <w:tc>
          <w:tcPr>
            <w:tcW w:w="1153" w:type="dxa"/>
            <w:tcBorders>
              <w:top w:val="single" w:sz="4" w:space="0" w:color="FFFFFF"/>
              <w:left w:val="single" w:sz="4" w:space="0" w:color="FFFFFF"/>
              <w:bottom w:val="single" w:sz="4" w:space="0" w:color="FFFFFF"/>
              <w:right w:val="single" w:sz="4" w:space="0" w:color="FFFFFF"/>
            </w:tcBorders>
            <w:shd w:val="clear" w:color="auto" w:fill="C00000"/>
          </w:tcPr>
          <w:p w14:paraId="7BD44AEB" w14:textId="77777777" w:rsidR="003168F8" w:rsidRPr="000331EC" w:rsidRDefault="003168F8" w:rsidP="006064D6">
            <w:pPr>
              <w:jc w:val="center"/>
              <w:rPr>
                <w:b/>
                <w:bCs/>
                <w:color w:val="FFFFFF" w:themeColor="background1"/>
              </w:rPr>
            </w:pPr>
          </w:p>
        </w:tc>
        <w:tc>
          <w:tcPr>
            <w:tcW w:w="927" w:type="dxa"/>
            <w:tcBorders>
              <w:top w:val="single" w:sz="4" w:space="0" w:color="FFFFFF"/>
              <w:left w:val="single" w:sz="4" w:space="0" w:color="FFFFFF"/>
              <w:bottom w:val="single" w:sz="4" w:space="0" w:color="FFFFFF"/>
              <w:right w:val="single" w:sz="4" w:space="0" w:color="FFFFFF"/>
            </w:tcBorders>
            <w:shd w:val="clear" w:color="auto" w:fill="C00000"/>
          </w:tcPr>
          <w:p w14:paraId="1A4B07D1" w14:textId="77777777" w:rsidR="003168F8" w:rsidRPr="000331EC" w:rsidRDefault="003168F8" w:rsidP="006064D6">
            <w:pPr>
              <w:jc w:val="center"/>
              <w:rPr>
                <w:b/>
                <w:bCs/>
                <w:color w:val="FFFFFF" w:themeColor="background1"/>
              </w:rPr>
            </w:pPr>
          </w:p>
        </w:tc>
        <w:tc>
          <w:tcPr>
            <w:tcW w:w="1270" w:type="dxa"/>
            <w:tcBorders>
              <w:top w:val="single" w:sz="4" w:space="0" w:color="FFFFFF"/>
              <w:left w:val="single" w:sz="4" w:space="0" w:color="FFFFFF"/>
              <w:bottom w:val="single" w:sz="4" w:space="0" w:color="FFFFFF"/>
              <w:right w:val="single" w:sz="4" w:space="0" w:color="FFFFFF"/>
            </w:tcBorders>
            <w:shd w:val="clear" w:color="auto" w:fill="098C44"/>
          </w:tcPr>
          <w:p w14:paraId="4B77ACE0" w14:textId="77777777" w:rsidR="003168F8" w:rsidRPr="000331EC" w:rsidRDefault="003168F8" w:rsidP="006064D6">
            <w:pPr>
              <w:jc w:val="center"/>
              <w:rPr>
                <w:b/>
                <w:bCs/>
                <w:color w:val="FFFFFF" w:themeColor="background1"/>
              </w:rPr>
            </w:pPr>
          </w:p>
        </w:tc>
        <w:tc>
          <w:tcPr>
            <w:tcW w:w="1795" w:type="dxa"/>
            <w:tcBorders>
              <w:top w:val="single" w:sz="4" w:space="0" w:color="FFFFFF"/>
              <w:left w:val="single" w:sz="4" w:space="0" w:color="FFFFFF"/>
              <w:bottom w:val="single" w:sz="4" w:space="0" w:color="FFFFFF"/>
              <w:right w:val="single" w:sz="4" w:space="0" w:color="FFFFFF"/>
            </w:tcBorders>
            <w:shd w:val="clear" w:color="auto" w:fill="098C44"/>
          </w:tcPr>
          <w:p w14:paraId="492FDFF2" w14:textId="77777777" w:rsidR="003168F8" w:rsidRPr="00662CBC" w:rsidRDefault="003168F8" w:rsidP="006064D6">
            <w:pPr>
              <w:jc w:val="center"/>
            </w:pPr>
            <w:r w:rsidRPr="00662CBC">
              <w:rPr>
                <w:b/>
                <w:bCs/>
                <w:color w:val="FFFFFF" w:themeColor="background1"/>
              </w:rPr>
              <w:t>Research</w:t>
            </w:r>
          </w:p>
        </w:tc>
        <w:tc>
          <w:tcPr>
            <w:tcW w:w="1495" w:type="dxa"/>
            <w:tcBorders>
              <w:top w:val="single" w:sz="4" w:space="0" w:color="FFFFFF"/>
              <w:left w:val="single" w:sz="4" w:space="0" w:color="FFFFFF"/>
              <w:bottom w:val="single" w:sz="4" w:space="0" w:color="FFFFFF"/>
              <w:right w:val="threeDEmboss" w:sz="24" w:space="0" w:color="002060"/>
            </w:tcBorders>
            <w:shd w:val="clear" w:color="auto" w:fill="098C44"/>
          </w:tcPr>
          <w:p w14:paraId="4CAF2732" w14:textId="77777777" w:rsidR="003168F8" w:rsidRPr="00662CBC" w:rsidRDefault="003168F8" w:rsidP="006064D6">
            <w:pPr>
              <w:jc w:val="center"/>
              <w:rPr>
                <w:b/>
                <w:bCs/>
              </w:rPr>
            </w:pPr>
            <w:r w:rsidRPr="00662CBC">
              <w:rPr>
                <w:b/>
                <w:bCs/>
                <w:color w:val="FFFFFF" w:themeColor="background1"/>
              </w:rPr>
              <w:t>L</w:t>
            </w:r>
          </w:p>
        </w:tc>
      </w:tr>
      <w:tr w:rsidR="003168F8" w:rsidRPr="00662CBC" w14:paraId="06EF330C" w14:textId="77777777" w:rsidTr="003A0947">
        <w:tc>
          <w:tcPr>
            <w:tcW w:w="426" w:type="dxa"/>
            <w:tcBorders>
              <w:top w:val="single" w:sz="4" w:space="0" w:color="FFFFFF"/>
              <w:left w:val="threeDEmboss" w:sz="24" w:space="0" w:color="002060"/>
              <w:bottom w:val="threeDEmboss" w:sz="24" w:space="0" w:color="002060"/>
              <w:right w:val="single" w:sz="4" w:space="0" w:color="FFFFFF"/>
            </w:tcBorders>
          </w:tcPr>
          <w:p w14:paraId="172A5402"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single" w:sz="4" w:space="0" w:color="FFFFFF"/>
              <w:left w:val="single" w:sz="4" w:space="0" w:color="FFFFFF"/>
              <w:bottom w:val="threeDEmboss" w:sz="24" w:space="0" w:color="002060"/>
              <w:right w:val="single" w:sz="4" w:space="0" w:color="FFFFFF"/>
            </w:tcBorders>
          </w:tcPr>
          <w:p w14:paraId="4DE598E2" w14:textId="77777777" w:rsidR="003168F8" w:rsidRPr="00662CBC" w:rsidRDefault="003168F8" w:rsidP="006064D6">
            <w:r w:rsidRPr="00662CBC">
              <w:t>Malta</w:t>
            </w:r>
          </w:p>
        </w:tc>
        <w:tc>
          <w:tcPr>
            <w:tcW w:w="1111" w:type="dxa"/>
            <w:tcBorders>
              <w:top w:val="single" w:sz="4" w:space="0" w:color="FFFFFF"/>
              <w:left w:val="single" w:sz="4" w:space="0" w:color="FFFFFF"/>
              <w:bottom w:val="threeDEmboss" w:sz="24" w:space="0" w:color="002060"/>
              <w:right w:val="single" w:sz="4" w:space="0" w:color="FFFFFF"/>
            </w:tcBorders>
            <w:shd w:val="clear" w:color="auto" w:fill="C00000"/>
          </w:tcPr>
          <w:p w14:paraId="7C26ECDD" w14:textId="77777777" w:rsidR="003168F8" w:rsidRPr="00662CBC" w:rsidRDefault="003168F8" w:rsidP="006064D6">
            <w:pPr>
              <w:jc w:val="center"/>
              <w:rPr>
                <w:b/>
                <w:bCs/>
                <w:color w:val="FFFFFF" w:themeColor="background1"/>
              </w:rPr>
            </w:pPr>
          </w:p>
        </w:tc>
        <w:tc>
          <w:tcPr>
            <w:tcW w:w="1561" w:type="dxa"/>
            <w:tcBorders>
              <w:top w:val="single" w:sz="4" w:space="0" w:color="FFFFFF"/>
              <w:left w:val="single" w:sz="4" w:space="0" w:color="FFFFFF"/>
              <w:bottom w:val="threeDEmboss" w:sz="24" w:space="0" w:color="002060"/>
              <w:right w:val="single" w:sz="4" w:space="0" w:color="FFFFFF"/>
            </w:tcBorders>
            <w:shd w:val="clear" w:color="auto" w:fill="098C44"/>
          </w:tcPr>
          <w:p w14:paraId="7C59E786" w14:textId="77777777" w:rsidR="003168F8" w:rsidRPr="00662CBC" w:rsidRDefault="003168F8" w:rsidP="006064D6">
            <w:pPr>
              <w:jc w:val="center"/>
              <w:rPr>
                <w:b/>
                <w:bCs/>
                <w:color w:val="FFFFFF" w:themeColor="background1"/>
              </w:rPr>
            </w:pPr>
            <w:r w:rsidRPr="00662CBC">
              <w:rPr>
                <w:b/>
                <w:bCs/>
                <w:color w:val="FFFFFF" w:themeColor="background1"/>
              </w:rPr>
              <w:t>C+L</w:t>
            </w:r>
            <w:r w:rsidRPr="005D2F5A">
              <w:rPr>
                <w:rStyle w:val="FootnoteReference"/>
              </w:rPr>
              <w:footnoteReference w:id="7"/>
            </w:r>
          </w:p>
        </w:tc>
        <w:tc>
          <w:tcPr>
            <w:tcW w:w="1269" w:type="dxa"/>
            <w:tcBorders>
              <w:top w:val="single" w:sz="4" w:space="0" w:color="FFFFFF"/>
              <w:left w:val="single" w:sz="4" w:space="0" w:color="FFFFFF"/>
              <w:bottom w:val="threeDEmboss" w:sz="24" w:space="0" w:color="002060"/>
              <w:right w:val="single" w:sz="4" w:space="0" w:color="FFFFFF"/>
            </w:tcBorders>
            <w:shd w:val="clear" w:color="auto" w:fill="F2FB93"/>
          </w:tcPr>
          <w:p w14:paraId="2013E8A8" w14:textId="77777777" w:rsidR="003168F8" w:rsidRPr="00662CBC" w:rsidRDefault="003168F8" w:rsidP="006064D6">
            <w:pPr>
              <w:jc w:val="center"/>
              <w:rPr>
                <w:b/>
                <w:bCs/>
                <w:color w:val="FFFFFF" w:themeColor="background1"/>
              </w:rPr>
            </w:pPr>
          </w:p>
        </w:tc>
        <w:tc>
          <w:tcPr>
            <w:tcW w:w="0" w:type="auto"/>
            <w:tcBorders>
              <w:top w:val="single" w:sz="4" w:space="0" w:color="FFFFFF"/>
              <w:left w:val="single" w:sz="4" w:space="0" w:color="FFFFFF"/>
              <w:bottom w:val="threeDEmboss" w:sz="24" w:space="0" w:color="002060"/>
              <w:right w:val="single" w:sz="4" w:space="0" w:color="FFFFFF"/>
            </w:tcBorders>
            <w:shd w:val="clear" w:color="auto" w:fill="C00000"/>
          </w:tcPr>
          <w:p w14:paraId="36D13AF1" w14:textId="77777777" w:rsidR="003168F8" w:rsidRPr="00662CBC" w:rsidRDefault="003168F8" w:rsidP="006064D6">
            <w:pPr>
              <w:jc w:val="center"/>
              <w:rPr>
                <w:b/>
                <w:bCs/>
                <w:color w:val="FFFFFF" w:themeColor="background1"/>
              </w:rPr>
            </w:pPr>
          </w:p>
        </w:tc>
        <w:tc>
          <w:tcPr>
            <w:tcW w:w="1275" w:type="dxa"/>
            <w:tcBorders>
              <w:top w:val="single" w:sz="4" w:space="0" w:color="FFFFFF"/>
              <w:left w:val="single" w:sz="4" w:space="0" w:color="FFFFFF"/>
              <w:bottom w:val="threeDEmboss" w:sz="24" w:space="0" w:color="002060"/>
              <w:right w:val="single" w:sz="4" w:space="0" w:color="FFFFFF"/>
            </w:tcBorders>
            <w:shd w:val="clear" w:color="auto" w:fill="C00000"/>
          </w:tcPr>
          <w:p w14:paraId="13CEF516" w14:textId="77777777" w:rsidR="003168F8" w:rsidRPr="00662CBC" w:rsidRDefault="003168F8" w:rsidP="006064D6">
            <w:pPr>
              <w:jc w:val="center"/>
              <w:rPr>
                <w:b/>
                <w:bCs/>
                <w:color w:val="FFFFFF" w:themeColor="background1"/>
              </w:rPr>
            </w:pPr>
          </w:p>
        </w:tc>
        <w:tc>
          <w:tcPr>
            <w:tcW w:w="1153" w:type="dxa"/>
            <w:tcBorders>
              <w:top w:val="single" w:sz="4" w:space="0" w:color="FFFFFF"/>
              <w:left w:val="single" w:sz="4" w:space="0" w:color="FFFFFF"/>
              <w:bottom w:val="threeDEmboss" w:sz="24" w:space="0" w:color="002060"/>
              <w:right w:val="single" w:sz="4" w:space="0" w:color="FFFFFF"/>
            </w:tcBorders>
            <w:shd w:val="clear" w:color="auto" w:fill="969696" w:themeFill="accent3"/>
          </w:tcPr>
          <w:p w14:paraId="059D160D" w14:textId="77777777" w:rsidR="003168F8" w:rsidRPr="000331EC" w:rsidRDefault="003168F8" w:rsidP="006064D6">
            <w:pPr>
              <w:jc w:val="center"/>
              <w:rPr>
                <w:b/>
                <w:bCs/>
                <w:color w:val="FFFFFF" w:themeColor="background1"/>
              </w:rPr>
            </w:pPr>
          </w:p>
        </w:tc>
        <w:tc>
          <w:tcPr>
            <w:tcW w:w="927" w:type="dxa"/>
            <w:tcBorders>
              <w:top w:val="single" w:sz="4" w:space="0" w:color="FFFFFF"/>
              <w:left w:val="single" w:sz="4" w:space="0" w:color="FFFFFF"/>
              <w:bottom w:val="threeDEmboss" w:sz="24" w:space="0" w:color="002060"/>
              <w:right w:val="single" w:sz="4" w:space="0" w:color="FFFFFF"/>
            </w:tcBorders>
            <w:shd w:val="clear" w:color="auto" w:fill="969696" w:themeFill="accent3"/>
          </w:tcPr>
          <w:p w14:paraId="7663A804" w14:textId="77777777" w:rsidR="003168F8" w:rsidRPr="000331EC" w:rsidRDefault="003168F8" w:rsidP="006064D6">
            <w:pPr>
              <w:jc w:val="center"/>
              <w:rPr>
                <w:b/>
                <w:bCs/>
                <w:color w:val="FFFFFF" w:themeColor="background1"/>
              </w:rPr>
            </w:pPr>
          </w:p>
        </w:tc>
        <w:tc>
          <w:tcPr>
            <w:tcW w:w="1270" w:type="dxa"/>
            <w:tcBorders>
              <w:top w:val="single" w:sz="4" w:space="0" w:color="FFFFFF"/>
              <w:left w:val="single" w:sz="4" w:space="0" w:color="FFFFFF"/>
              <w:bottom w:val="threeDEmboss" w:sz="24" w:space="0" w:color="002060"/>
              <w:right w:val="single" w:sz="4" w:space="0" w:color="FFFFFF"/>
            </w:tcBorders>
            <w:shd w:val="clear" w:color="auto" w:fill="098C44"/>
          </w:tcPr>
          <w:p w14:paraId="6831A39A" w14:textId="77777777" w:rsidR="003168F8" w:rsidRPr="000331EC" w:rsidRDefault="003168F8" w:rsidP="006064D6">
            <w:pPr>
              <w:jc w:val="center"/>
              <w:rPr>
                <w:b/>
                <w:bCs/>
                <w:color w:val="FFFFFF" w:themeColor="background1"/>
              </w:rPr>
            </w:pPr>
          </w:p>
        </w:tc>
        <w:tc>
          <w:tcPr>
            <w:tcW w:w="1795" w:type="dxa"/>
            <w:tcBorders>
              <w:top w:val="single" w:sz="4" w:space="0" w:color="FFFFFF"/>
              <w:left w:val="single" w:sz="4" w:space="0" w:color="FFFFFF"/>
              <w:bottom w:val="threeDEmboss" w:sz="24" w:space="0" w:color="002060"/>
              <w:right w:val="single" w:sz="4" w:space="0" w:color="FFFFFF"/>
            </w:tcBorders>
            <w:shd w:val="clear" w:color="auto" w:fill="098C44"/>
          </w:tcPr>
          <w:p w14:paraId="535E386A" w14:textId="77777777" w:rsidR="003168F8" w:rsidRPr="00662CBC" w:rsidRDefault="003168F8" w:rsidP="006064D6">
            <w:pPr>
              <w:jc w:val="center"/>
              <w:rPr>
                <w:b/>
                <w:bCs/>
                <w:color w:val="FFFFFF" w:themeColor="background1"/>
              </w:rPr>
            </w:pPr>
            <w:r w:rsidRPr="00662CBC">
              <w:rPr>
                <w:b/>
                <w:bCs/>
                <w:color w:val="FFFFFF" w:themeColor="background1"/>
              </w:rPr>
              <w:t>Electoral Commission</w:t>
            </w:r>
          </w:p>
        </w:tc>
        <w:tc>
          <w:tcPr>
            <w:tcW w:w="1495" w:type="dxa"/>
            <w:tcBorders>
              <w:top w:val="single" w:sz="4" w:space="0" w:color="FFFFFF"/>
              <w:left w:val="single" w:sz="4" w:space="0" w:color="FFFFFF"/>
              <w:bottom w:val="threeDEmboss" w:sz="24" w:space="0" w:color="002060"/>
              <w:right w:val="threeDEmboss" w:sz="24" w:space="0" w:color="002060"/>
            </w:tcBorders>
            <w:shd w:val="clear" w:color="auto" w:fill="098C44"/>
          </w:tcPr>
          <w:p w14:paraId="60A722CE" w14:textId="77777777" w:rsidR="003168F8" w:rsidRPr="00662CBC" w:rsidRDefault="003168F8" w:rsidP="006064D6">
            <w:pPr>
              <w:jc w:val="center"/>
              <w:rPr>
                <w:b/>
                <w:bCs/>
                <w:color w:val="FFFFFF" w:themeColor="background1"/>
              </w:rPr>
            </w:pPr>
            <w:r w:rsidRPr="00662CBC">
              <w:rPr>
                <w:b/>
                <w:bCs/>
                <w:color w:val="FFFFFF" w:themeColor="background1"/>
              </w:rPr>
              <w:t>L</w:t>
            </w:r>
          </w:p>
        </w:tc>
      </w:tr>
      <w:tr w:rsidR="003168F8" w:rsidRPr="00662CBC" w14:paraId="650F6251" w14:textId="77777777" w:rsidTr="00B05273">
        <w:tc>
          <w:tcPr>
            <w:tcW w:w="426" w:type="dxa"/>
            <w:tcBorders>
              <w:top w:val="threeDEmboss" w:sz="24" w:space="0" w:color="002060"/>
              <w:left w:val="single" w:sz="4" w:space="0" w:color="FFFFFF"/>
              <w:bottom w:val="single" w:sz="4" w:space="0" w:color="FFFFFF"/>
              <w:right w:val="single" w:sz="4" w:space="0" w:color="FFFFFF"/>
            </w:tcBorders>
          </w:tcPr>
          <w:p w14:paraId="218610A7"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threeDEmboss" w:sz="24" w:space="0" w:color="002060"/>
              <w:left w:val="single" w:sz="4" w:space="0" w:color="FFFFFF"/>
              <w:bottom w:val="single" w:sz="4" w:space="0" w:color="FFFFFF"/>
              <w:right w:val="single" w:sz="4" w:space="0" w:color="FFFFFF"/>
            </w:tcBorders>
          </w:tcPr>
          <w:p w14:paraId="2F39A079" w14:textId="77777777" w:rsidR="003168F8" w:rsidRPr="00662CBC" w:rsidRDefault="003168F8" w:rsidP="006064D6">
            <w:r w:rsidRPr="00662CBC">
              <w:t>Republic of Moldova</w:t>
            </w:r>
          </w:p>
        </w:tc>
        <w:tc>
          <w:tcPr>
            <w:tcW w:w="1111" w:type="dxa"/>
            <w:tcBorders>
              <w:top w:val="threeDEmboss" w:sz="24" w:space="0" w:color="002060"/>
              <w:left w:val="single" w:sz="4" w:space="0" w:color="FFFFFF"/>
              <w:bottom w:val="single" w:sz="4" w:space="0" w:color="FFFFFF"/>
              <w:right w:val="single" w:sz="4" w:space="0" w:color="FFFFFF"/>
            </w:tcBorders>
            <w:shd w:val="clear" w:color="auto" w:fill="C00000"/>
          </w:tcPr>
          <w:p w14:paraId="50CE1893" w14:textId="77777777" w:rsidR="003168F8" w:rsidRPr="00662CBC" w:rsidRDefault="003168F8" w:rsidP="006064D6">
            <w:pPr>
              <w:jc w:val="center"/>
              <w:rPr>
                <w:b/>
                <w:bCs/>
                <w:color w:val="FFFFFF" w:themeColor="background1"/>
              </w:rPr>
            </w:pPr>
          </w:p>
        </w:tc>
        <w:tc>
          <w:tcPr>
            <w:tcW w:w="1561" w:type="dxa"/>
            <w:tcBorders>
              <w:top w:val="threeDEmboss" w:sz="24" w:space="0" w:color="002060"/>
              <w:left w:val="single" w:sz="4" w:space="0" w:color="FFFFFF"/>
              <w:bottom w:val="single" w:sz="4" w:space="0" w:color="FFFFFF"/>
              <w:right w:val="single" w:sz="4" w:space="0" w:color="FFFFFF"/>
            </w:tcBorders>
            <w:shd w:val="clear" w:color="auto" w:fill="C00000"/>
          </w:tcPr>
          <w:p w14:paraId="0D919858" w14:textId="77777777" w:rsidR="003168F8" w:rsidRPr="00662CBC" w:rsidRDefault="003168F8" w:rsidP="006064D6">
            <w:pPr>
              <w:jc w:val="center"/>
              <w:rPr>
                <w:b/>
                <w:bCs/>
                <w:color w:val="FFFFFF" w:themeColor="background1"/>
              </w:rPr>
            </w:pPr>
            <w:r w:rsidRPr="00662CBC">
              <w:rPr>
                <w:b/>
                <w:bCs/>
                <w:color w:val="FFFFFF" w:themeColor="background1"/>
              </w:rPr>
              <w:t>C+L</w:t>
            </w:r>
          </w:p>
        </w:tc>
        <w:tc>
          <w:tcPr>
            <w:tcW w:w="1269" w:type="dxa"/>
            <w:tcBorders>
              <w:top w:val="threeDEmboss" w:sz="24" w:space="0" w:color="002060"/>
              <w:left w:val="single" w:sz="4" w:space="0" w:color="FFFFFF"/>
              <w:bottom w:val="single" w:sz="4" w:space="0" w:color="FFFFFF"/>
              <w:right w:val="single" w:sz="4" w:space="0" w:color="FFFFFF"/>
            </w:tcBorders>
            <w:shd w:val="clear" w:color="auto" w:fill="FB786F"/>
          </w:tcPr>
          <w:p w14:paraId="258E32C0" w14:textId="77777777" w:rsidR="003168F8" w:rsidRPr="00662CBC" w:rsidRDefault="003168F8" w:rsidP="006064D6">
            <w:pPr>
              <w:jc w:val="center"/>
              <w:rPr>
                <w:b/>
                <w:bCs/>
                <w:color w:val="FFFFFF" w:themeColor="background1"/>
              </w:rPr>
            </w:pPr>
          </w:p>
        </w:tc>
        <w:tc>
          <w:tcPr>
            <w:tcW w:w="0" w:type="auto"/>
            <w:tcBorders>
              <w:top w:val="threeDEmboss" w:sz="24" w:space="0" w:color="002060"/>
              <w:left w:val="single" w:sz="4" w:space="0" w:color="FFFFFF"/>
              <w:bottom w:val="single" w:sz="4" w:space="0" w:color="FFFFFF"/>
              <w:right w:val="single" w:sz="4" w:space="0" w:color="FFFFFF"/>
            </w:tcBorders>
            <w:shd w:val="clear" w:color="auto" w:fill="969696" w:themeFill="accent3"/>
          </w:tcPr>
          <w:p w14:paraId="5B3DADDD" w14:textId="77777777" w:rsidR="003168F8" w:rsidRPr="00662CBC" w:rsidRDefault="003168F8" w:rsidP="006064D6">
            <w:pPr>
              <w:jc w:val="center"/>
              <w:rPr>
                <w:b/>
                <w:bCs/>
                <w:color w:val="FFFFFF" w:themeColor="background1"/>
              </w:rPr>
            </w:pPr>
          </w:p>
        </w:tc>
        <w:tc>
          <w:tcPr>
            <w:tcW w:w="1275" w:type="dxa"/>
            <w:tcBorders>
              <w:top w:val="threeDEmboss" w:sz="24" w:space="0" w:color="002060"/>
              <w:left w:val="single" w:sz="4" w:space="0" w:color="FFFFFF"/>
              <w:bottom w:val="single" w:sz="4" w:space="0" w:color="FFFFFF"/>
              <w:right w:val="single" w:sz="4" w:space="0" w:color="FFFFFF"/>
            </w:tcBorders>
            <w:shd w:val="clear" w:color="auto" w:fill="969696" w:themeFill="accent3"/>
          </w:tcPr>
          <w:p w14:paraId="6843E760" w14:textId="77777777" w:rsidR="003168F8" w:rsidRPr="00662CBC" w:rsidRDefault="003168F8" w:rsidP="006064D6">
            <w:pPr>
              <w:jc w:val="center"/>
              <w:rPr>
                <w:b/>
                <w:bCs/>
                <w:color w:val="FFFFFF" w:themeColor="background1"/>
              </w:rPr>
            </w:pPr>
          </w:p>
        </w:tc>
        <w:tc>
          <w:tcPr>
            <w:tcW w:w="1153" w:type="dxa"/>
            <w:tcBorders>
              <w:top w:val="threeDEmboss" w:sz="24" w:space="0" w:color="002060"/>
              <w:left w:val="single" w:sz="4" w:space="0" w:color="FFFFFF"/>
              <w:bottom w:val="single" w:sz="4" w:space="0" w:color="FFFFFF"/>
              <w:right w:val="single" w:sz="4" w:space="0" w:color="FFFFFF"/>
            </w:tcBorders>
            <w:shd w:val="clear" w:color="auto" w:fill="C00000"/>
          </w:tcPr>
          <w:p w14:paraId="101043E4" w14:textId="77777777" w:rsidR="003168F8" w:rsidRPr="000331EC" w:rsidRDefault="003168F8" w:rsidP="006064D6">
            <w:pPr>
              <w:jc w:val="center"/>
              <w:rPr>
                <w:b/>
                <w:bCs/>
                <w:color w:val="FFFFFF" w:themeColor="background1"/>
              </w:rPr>
            </w:pPr>
          </w:p>
        </w:tc>
        <w:tc>
          <w:tcPr>
            <w:tcW w:w="927" w:type="dxa"/>
            <w:tcBorders>
              <w:top w:val="threeDEmboss" w:sz="24" w:space="0" w:color="002060"/>
              <w:left w:val="single" w:sz="4" w:space="0" w:color="FFFFFF"/>
              <w:bottom w:val="single" w:sz="4" w:space="0" w:color="FFFFFF"/>
              <w:right w:val="single" w:sz="4" w:space="0" w:color="FFFFFF"/>
            </w:tcBorders>
            <w:shd w:val="clear" w:color="auto" w:fill="969696" w:themeFill="accent3"/>
          </w:tcPr>
          <w:p w14:paraId="5B093886" w14:textId="77777777" w:rsidR="003168F8" w:rsidRPr="000331EC" w:rsidRDefault="003168F8" w:rsidP="006064D6">
            <w:pPr>
              <w:jc w:val="center"/>
              <w:rPr>
                <w:b/>
                <w:bCs/>
                <w:color w:val="FFFFFF" w:themeColor="background1"/>
              </w:rPr>
            </w:pPr>
          </w:p>
        </w:tc>
        <w:tc>
          <w:tcPr>
            <w:tcW w:w="1270" w:type="dxa"/>
            <w:tcBorders>
              <w:top w:val="threeDEmboss" w:sz="24" w:space="0" w:color="002060"/>
              <w:left w:val="single" w:sz="4" w:space="0" w:color="FFFFFF"/>
              <w:bottom w:val="single" w:sz="4" w:space="0" w:color="FFFFFF"/>
              <w:right w:val="single" w:sz="4" w:space="0" w:color="FFFFFF"/>
            </w:tcBorders>
            <w:shd w:val="clear" w:color="auto" w:fill="098C44"/>
          </w:tcPr>
          <w:p w14:paraId="0BCA5D73" w14:textId="77777777" w:rsidR="003168F8" w:rsidRPr="000331EC" w:rsidRDefault="003168F8" w:rsidP="006064D6">
            <w:pPr>
              <w:jc w:val="center"/>
              <w:rPr>
                <w:b/>
                <w:bCs/>
                <w:color w:val="FFFFFF" w:themeColor="background1"/>
              </w:rPr>
            </w:pPr>
          </w:p>
        </w:tc>
        <w:tc>
          <w:tcPr>
            <w:tcW w:w="1795" w:type="dxa"/>
            <w:tcBorders>
              <w:top w:val="threeDEmboss" w:sz="24" w:space="0" w:color="002060"/>
              <w:left w:val="single" w:sz="4" w:space="0" w:color="FFFFFF"/>
              <w:bottom w:val="single" w:sz="4" w:space="0" w:color="FFFFFF"/>
              <w:right w:val="single" w:sz="4" w:space="0" w:color="FFFFFF"/>
            </w:tcBorders>
            <w:shd w:val="clear" w:color="auto" w:fill="969696" w:themeFill="accent3"/>
          </w:tcPr>
          <w:p w14:paraId="6D6FC669" w14:textId="77777777" w:rsidR="003168F8" w:rsidRPr="00662CBC" w:rsidRDefault="003168F8" w:rsidP="006064D6">
            <w:pPr>
              <w:jc w:val="center"/>
              <w:rPr>
                <w:b/>
                <w:bCs/>
                <w:color w:val="FFFFFF" w:themeColor="background1"/>
              </w:rPr>
            </w:pPr>
          </w:p>
        </w:tc>
        <w:tc>
          <w:tcPr>
            <w:tcW w:w="1495" w:type="dxa"/>
            <w:tcBorders>
              <w:top w:val="threeDEmboss" w:sz="24" w:space="0" w:color="002060"/>
              <w:left w:val="single" w:sz="4" w:space="0" w:color="FFFFFF"/>
              <w:bottom w:val="single" w:sz="4" w:space="0" w:color="FFFFFF"/>
              <w:right w:val="single" w:sz="4" w:space="0" w:color="FFFFFF"/>
            </w:tcBorders>
            <w:shd w:val="diagCross" w:color="098C44" w:fill="auto"/>
          </w:tcPr>
          <w:p w14:paraId="741BAED7" w14:textId="77777777" w:rsidR="003168F8" w:rsidRPr="00662CBC" w:rsidRDefault="003168F8" w:rsidP="006064D6">
            <w:pPr>
              <w:jc w:val="center"/>
              <w:rPr>
                <w:b/>
                <w:bCs/>
                <w:color w:val="FFFFFF" w:themeColor="background1"/>
              </w:rPr>
            </w:pPr>
            <w:r w:rsidRPr="00662CBC">
              <w:rPr>
                <w:b/>
                <w:bCs/>
                <w:color w:val="FFFFFF" w:themeColor="background1"/>
              </w:rPr>
              <w:t>L – Seems to only apply to the private sector</w:t>
            </w:r>
          </w:p>
        </w:tc>
      </w:tr>
      <w:tr w:rsidR="003168F8" w:rsidRPr="00662CBC" w14:paraId="6DFCBA68" w14:textId="77777777" w:rsidTr="005C65AF">
        <w:tc>
          <w:tcPr>
            <w:tcW w:w="426" w:type="dxa"/>
            <w:tcBorders>
              <w:top w:val="single" w:sz="4" w:space="0" w:color="FFFFFF"/>
              <w:left w:val="single" w:sz="4" w:space="0" w:color="FFFFFF"/>
              <w:bottom w:val="single" w:sz="4" w:space="0" w:color="FFFFFF"/>
              <w:right w:val="single" w:sz="4" w:space="0" w:color="FFFFFF"/>
            </w:tcBorders>
          </w:tcPr>
          <w:p w14:paraId="1A3BB324"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single" w:sz="4" w:space="0" w:color="FFFFFF"/>
              <w:left w:val="single" w:sz="4" w:space="0" w:color="FFFFFF"/>
              <w:bottom w:val="single" w:sz="4" w:space="0" w:color="FFFFFF"/>
              <w:right w:val="single" w:sz="4" w:space="0" w:color="FFFFFF"/>
            </w:tcBorders>
          </w:tcPr>
          <w:p w14:paraId="7F542D43" w14:textId="77777777" w:rsidR="003168F8" w:rsidRPr="00662CBC" w:rsidRDefault="003168F8" w:rsidP="006064D6">
            <w:r w:rsidRPr="00662CBC">
              <w:t>Monaco</w:t>
            </w:r>
          </w:p>
        </w:tc>
        <w:tc>
          <w:tcPr>
            <w:tcW w:w="1111" w:type="dxa"/>
            <w:tcBorders>
              <w:top w:val="single" w:sz="4" w:space="0" w:color="FFFFFF"/>
              <w:left w:val="single" w:sz="4" w:space="0" w:color="FFFFFF"/>
              <w:bottom w:val="single" w:sz="4" w:space="0" w:color="FFFFFF"/>
              <w:right w:val="single" w:sz="4" w:space="0" w:color="FFFFFF"/>
            </w:tcBorders>
            <w:shd w:val="clear" w:color="auto" w:fill="C00000"/>
          </w:tcPr>
          <w:p w14:paraId="5B596497" w14:textId="77777777" w:rsidR="003168F8" w:rsidRPr="00662CBC" w:rsidRDefault="003168F8" w:rsidP="006064D6">
            <w:pPr>
              <w:jc w:val="center"/>
              <w:rPr>
                <w:b/>
                <w:bCs/>
                <w:color w:val="FFFFFF" w:themeColor="background1"/>
              </w:rPr>
            </w:pPr>
          </w:p>
        </w:tc>
        <w:tc>
          <w:tcPr>
            <w:tcW w:w="1561" w:type="dxa"/>
            <w:tcBorders>
              <w:top w:val="single" w:sz="4" w:space="0" w:color="FFFFFF"/>
              <w:left w:val="single" w:sz="4" w:space="0" w:color="FFFFFF"/>
              <w:bottom w:val="single" w:sz="4" w:space="0" w:color="FFFFFF"/>
              <w:right w:val="single" w:sz="4" w:space="0" w:color="FFFFFF"/>
            </w:tcBorders>
            <w:shd w:val="clear" w:color="auto" w:fill="C00000"/>
          </w:tcPr>
          <w:p w14:paraId="0F74DB70" w14:textId="77777777" w:rsidR="003168F8" w:rsidRPr="00662CBC" w:rsidRDefault="003168F8" w:rsidP="006064D6">
            <w:pPr>
              <w:jc w:val="center"/>
              <w:rPr>
                <w:b/>
                <w:bCs/>
                <w:color w:val="FFFFFF" w:themeColor="background1"/>
              </w:rPr>
            </w:pPr>
          </w:p>
        </w:tc>
        <w:tc>
          <w:tcPr>
            <w:tcW w:w="1269" w:type="dxa"/>
            <w:tcBorders>
              <w:top w:val="single" w:sz="4" w:space="0" w:color="FFFFFF"/>
              <w:left w:val="single" w:sz="4" w:space="0" w:color="FFFFFF"/>
              <w:bottom w:val="single" w:sz="4" w:space="0" w:color="FFFFFF"/>
              <w:right w:val="single" w:sz="4" w:space="0" w:color="FFFFFF"/>
            </w:tcBorders>
            <w:shd w:val="clear" w:color="auto" w:fill="FB786F"/>
          </w:tcPr>
          <w:p w14:paraId="1112FE5B" w14:textId="77777777" w:rsidR="003168F8" w:rsidRPr="00662CBC" w:rsidRDefault="003168F8" w:rsidP="006064D6">
            <w:pPr>
              <w:jc w:val="center"/>
              <w:rPr>
                <w:b/>
                <w:bCs/>
                <w:color w:val="FFFFFF" w:themeColor="background1"/>
              </w:rPr>
            </w:pPr>
          </w:p>
        </w:tc>
        <w:tc>
          <w:tcPr>
            <w:tcW w:w="0" w:type="auto"/>
            <w:tcBorders>
              <w:top w:val="single" w:sz="4" w:space="0" w:color="FFFFFF"/>
              <w:left w:val="single" w:sz="4" w:space="0" w:color="FFFFFF"/>
              <w:bottom w:val="single" w:sz="4" w:space="0" w:color="FFFFFF"/>
              <w:right w:val="single" w:sz="4" w:space="0" w:color="FFFFFF"/>
            </w:tcBorders>
            <w:shd w:val="clear" w:color="auto" w:fill="C00000"/>
          </w:tcPr>
          <w:p w14:paraId="20B4920C" w14:textId="77777777" w:rsidR="003168F8" w:rsidRPr="00662CBC" w:rsidRDefault="003168F8" w:rsidP="006064D6">
            <w:pPr>
              <w:jc w:val="center"/>
              <w:rPr>
                <w:b/>
                <w:bCs/>
                <w:color w:val="FFFFFF" w:themeColor="background1"/>
              </w:rPr>
            </w:pPr>
          </w:p>
        </w:tc>
        <w:tc>
          <w:tcPr>
            <w:tcW w:w="1275" w:type="dxa"/>
            <w:tcBorders>
              <w:top w:val="single" w:sz="4" w:space="0" w:color="FFFFFF"/>
              <w:left w:val="single" w:sz="4" w:space="0" w:color="FFFFFF"/>
              <w:bottom w:val="single" w:sz="4" w:space="0" w:color="FFFFFF"/>
              <w:right w:val="single" w:sz="4" w:space="0" w:color="FFFFFF"/>
            </w:tcBorders>
            <w:shd w:val="clear" w:color="auto" w:fill="C00000"/>
          </w:tcPr>
          <w:p w14:paraId="4A53978C" w14:textId="77777777" w:rsidR="003168F8" w:rsidRPr="00662CBC" w:rsidRDefault="003168F8" w:rsidP="006064D6">
            <w:pPr>
              <w:jc w:val="center"/>
              <w:rPr>
                <w:b/>
                <w:bCs/>
                <w:color w:val="FFFFFF" w:themeColor="background1"/>
              </w:rPr>
            </w:pPr>
          </w:p>
        </w:tc>
        <w:tc>
          <w:tcPr>
            <w:tcW w:w="1153" w:type="dxa"/>
            <w:tcBorders>
              <w:top w:val="single" w:sz="4" w:space="0" w:color="FFFFFF"/>
              <w:left w:val="single" w:sz="4" w:space="0" w:color="FFFFFF"/>
              <w:bottom w:val="single" w:sz="4" w:space="0" w:color="FFFFFF"/>
              <w:right w:val="single" w:sz="4" w:space="0" w:color="FFFFFF"/>
            </w:tcBorders>
            <w:shd w:val="clear" w:color="auto" w:fill="C00000"/>
          </w:tcPr>
          <w:p w14:paraId="03E9B0C0" w14:textId="77777777" w:rsidR="003168F8" w:rsidRPr="000331EC" w:rsidRDefault="003168F8" w:rsidP="006064D6">
            <w:pPr>
              <w:jc w:val="center"/>
              <w:rPr>
                <w:b/>
                <w:bCs/>
                <w:color w:val="FFFFFF" w:themeColor="background1"/>
              </w:rPr>
            </w:pPr>
          </w:p>
        </w:tc>
        <w:tc>
          <w:tcPr>
            <w:tcW w:w="927" w:type="dxa"/>
            <w:tcBorders>
              <w:top w:val="single" w:sz="4" w:space="0" w:color="FFFFFF"/>
              <w:left w:val="single" w:sz="4" w:space="0" w:color="FFFFFF"/>
              <w:bottom w:val="single" w:sz="4" w:space="0" w:color="FFFFFF"/>
              <w:right w:val="single" w:sz="4" w:space="0" w:color="FFFFFF"/>
            </w:tcBorders>
            <w:shd w:val="clear" w:color="auto" w:fill="C00000"/>
          </w:tcPr>
          <w:p w14:paraId="372E75E4" w14:textId="6FF49EE8" w:rsidR="003168F8" w:rsidRPr="000331EC" w:rsidRDefault="005C65AF" w:rsidP="006064D6">
            <w:pPr>
              <w:jc w:val="center"/>
              <w:rPr>
                <w:b/>
                <w:bCs/>
                <w:color w:val="FFFFFF" w:themeColor="background1"/>
              </w:rPr>
            </w:pPr>
            <w:r>
              <w:t>No armed forces</w:t>
            </w:r>
          </w:p>
        </w:tc>
        <w:tc>
          <w:tcPr>
            <w:tcW w:w="1270" w:type="dxa"/>
            <w:tcBorders>
              <w:top w:val="single" w:sz="4" w:space="0" w:color="FFFFFF"/>
              <w:left w:val="single" w:sz="4" w:space="0" w:color="FFFFFF"/>
              <w:bottom w:val="single" w:sz="4" w:space="0" w:color="FFFFFF"/>
              <w:right w:val="single" w:sz="4" w:space="0" w:color="FFFFFF"/>
            </w:tcBorders>
            <w:shd w:val="clear" w:color="auto" w:fill="C00000"/>
          </w:tcPr>
          <w:p w14:paraId="0C6D71E4" w14:textId="77777777" w:rsidR="003168F8" w:rsidRPr="000331EC" w:rsidRDefault="003168F8" w:rsidP="006064D6">
            <w:pPr>
              <w:jc w:val="center"/>
              <w:rPr>
                <w:b/>
                <w:bCs/>
                <w:color w:val="FFFFFF" w:themeColor="background1"/>
              </w:rPr>
            </w:pPr>
          </w:p>
        </w:tc>
        <w:tc>
          <w:tcPr>
            <w:tcW w:w="1795" w:type="dxa"/>
            <w:tcBorders>
              <w:top w:val="single" w:sz="4" w:space="0" w:color="FFFFFF"/>
              <w:left w:val="single" w:sz="4" w:space="0" w:color="FFFFFF"/>
              <w:bottom w:val="single" w:sz="4" w:space="0" w:color="FFFFFF"/>
              <w:right w:val="single" w:sz="4" w:space="0" w:color="FFFFFF"/>
            </w:tcBorders>
            <w:shd w:val="clear" w:color="auto" w:fill="969696" w:themeFill="accent3"/>
          </w:tcPr>
          <w:p w14:paraId="5DB6E4EF" w14:textId="77777777" w:rsidR="003168F8" w:rsidRPr="00662CBC" w:rsidRDefault="003168F8" w:rsidP="006064D6">
            <w:pPr>
              <w:jc w:val="center"/>
              <w:rPr>
                <w:b/>
                <w:bCs/>
                <w:color w:val="FFFFFF" w:themeColor="background1"/>
              </w:rPr>
            </w:pPr>
          </w:p>
        </w:tc>
        <w:tc>
          <w:tcPr>
            <w:tcW w:w="1495" w:type="dxa"/>
            <w:tcBorders>
              <w:top w:val="single" w:sz="4" w:space="0" w:color="FFFFFF"/>
              <w:left w:val="single" w:sz="4" w:space="0" w:color="FFFFFF"/>
              <w:bottom w:val="single" w:sz="4" w:space="0" w:color="FFFFFF"/>
              <w:right w:val="single" w:sz="4" w:space="0" w:color="FFFFFF"/>
            </w:tcBorders>
            <w:shd w:val="clear" w:color="auto" w:fill="C00000"/>
          </w:tcPr>
          <w:p w14:paraId="4C798C00" w14:textId="77777777" w:rsidR="003168F8" w:rsidRPr="00662CBC" w:rsidRDefault="003168F8" w:rsidP="006064D6">
            <w:pPr>
              <w:jc w:val="center"/>
              <w:rPr>
                <w:b/>
                <w:bCs/>
                <w:color w:val="FFFFFF" w:themeColor="background1"/>
              </w:rPr>
            </w:pPr>
          </w:p>
        </w:tc>
      </w:tr>
      <w:tr w:rsidR="003168F8" w:rsidRPr="00662CBC" w14:paraId="2A97C76F" w14:textId="77777777" w:rsidTr="00C524FB">
        <w:tc>
          <w:tcPr>
            <w:tcW w:w="426" w:type="dxa"/>
            <w:tcBorders>
              <w:top w:val="single" w:sz="4" w:space="0" w:color="FFFFFF"/>
              <w:left w:val="single" w:sz="4" w:space="0" w:color="FFFFFF"/>
              <w:bottom w:val="threeDEmboss" w:sz="24" w:space="0" w:color="002060"/>
              <w:right w:val="single" w:sz="4" w:space="0" w:color="FFFFFF"/>
            </w:tcBorders>
          </w:tcPr>
          <w:p w14:paraId="138822E4"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single" w:sz="4" w:space="0" w:color="FFFFFF"/>
              <w:left w:val="single" w:sz="4" w:space="0" w:color="FFFFFF"/>
              <w:bottom w:val="threeDEmboss" w:sz="24" w:space="0" w:color="002060"/>
              <w:right w:val="single" w:sz="4" w:space="0" w:color="FFFFFF"/>
            </w:tcBorders>
          </w:tcPr>
          <w:p w14:paraId="68AF4916" w14:textId="77777777" w:rsidR="003168F8" w:rsidRPr="00662CBC" w:rsidRDefault="003168F8" w:rsidP="006064D6">
            <w:r w:rsidRPr="00662CBC">
              <w:t>Montenegro</w:t>
            </w:r>
          </w:p>
        </w:tc>
        <w:tc>
          <w:tcPr>
            <w:tcW w:w="1111" w:type="dxa"/>
            <w:tcBorders>
              <w:top w:val="single" w:sz="4" w:space="0" w:color="FFFFFF"/>
              <w:left w:val="single" w:sz="4" w:space="0" w:color="FFFFFF"/>
              <w:bottom w:val="threeDEmboss" w:sz="24" w:space="0" w:color="002060"/>
              <w:right w:val="single" w:sz="4" w:space="0" w:color="FFFFFF"/>
            </w:tcBorders>
            <w:shd w:val="clear" w:color="auto" w:fill="C00000"/>
          </w:tcPr>
          <w:p w14:paraId="2793BD0A" w14:textId="77777777" w:rsidR="003168F8" w:rsidRPr="00662CBC" w:rsidRDefault="003168F8" w:rsidP="006064D6">
            <w:pPr>
              <w:jc w:val="center"/>
              <w:rPr>
                <w:b/>
                <w:bCs/>
                <w:color w:val="FFFFFF" w:themeColor="background1"/>
              </w:rPr>
            </w:pPr>
          </w:p>
        </w:tc>
        <w:tc>
          <w:tcPr>
            <w:tcW w:w="1561" w:type="dxa"/>
            <w:tcBorders>
              <w:top w:val="single" w:sz="4" w:space="0" w:color="FFFFFF"/>
              <w:left w:val="single" w:sz="4" w:space="0" w:color="FFFFFF"/>
              <w:bottom w:val="threeDEmboss" w:sz="24" w:space="0" w:color="002060"/>
              <w:right w:val="single" w:sz="4" w:space="0" w:color="FFFFFF"/>
            </w:tcBorders>
            <w:shd w:val="clear" w:color="auto" w:fill="098C44"/>
          </w:tcPr>
          <w:p w14:paraId="69C7FF9F" w14:textId="77777777" w:rsidR="003168F8" w:rsidRPr="00662CBC" w:rsidRDefault="003168F8" w:rsidP="006064D6">
            <w:pPr>
              <w:jc w:val="center"/>
              <w:rPr>
                <w:b/>
                <w:bCs/>
                <w:color w:val="FFFFFF" w:themeColor="background1"/>
              </w:rPr>
            </w:pPr>
            <w:r w:rsidRPr="00662CBC">
              <w:rPr>
                <w:b/>
                <w:bCs/>
                <w:color w:val="FFFFFF" w:themeColor="background1"/>
              </w:rPr>
              <w:t>L</w:t>
            </w:r>
          </w:p>
        </w:tc>
        <w:tc>
          <w:tcPr>
            <w:tcW w:w="1269" w:type="dxa"/>
            <w:tcBorders>
              <w:top w:val="single" w:sz="4" w:space="0" w:color="FFFFFF"/>
              <w:left w:val="single" w:sz="4" w:space="0" w:color="FFFFFF"/>
              <w:bottom w:val="threeDEmboss" w:sz="24" w:space="0" w:color="002060"/>
              <w:right w:val="single" w:sz="4" w:space="0" w:color="FFFFFF"/>
            </w:tcBorders>
            <w:shd w:val="clear" w:color="auto" w:fill="F2FB93"/>
          </w:tcPr>
          <w:p w14:paraId="38A6728B" w14:textId="77777777" w:rsidR="003168F8" w:rsidRPr="00662CBC" w:rsidRDefault="003168F8" w:rsidP="006064D6">
            <w:pPr>
              <w:jc w:val="center"/>
              <w:rPr>
                <w:b/>
                <w:bCs/>
                <w:color w:val="FFFFFF" w:themeColor="background1"/>
              </w:rPr>
            </w:pPr>
          </w:p>
        </w:tc>
        <w:tc>
          <w:tcPr>
            <w:tcW w:w="0" w:type="auto"/>
            <w:tcBorders>
              <w:top w:val="single" w:sz="4" w:space="0" w:color="FFFFFF"/>
              <w:left w:val="single" w:sz="4" w:space="0" w:color="FFFFFF"/>
              <w:bottom w:val="threeDEmboss" w:sz="24" w:space="0" w:color="002060"/>
              <w:right w:val="single" w:sz="4" w:space="0" w:color="FFFFFF"/>
            </w:tcBorders>
            <w:shd w:val="clear" w:color="auto" w:fill="C00000"/>
          </w:tcPr>
          <w:p w14:paraId="64851B08" w14:textId="77777777" w:rsidR="003168F8" w:rsidRPr="00662CBC" w:rsidRDefault="003168F8" w:rsidP="006064D6">
            <w:pPr>
              <w:jc w:val="center"/>
              <w:rPr>
                <w:b/>
                <w:bCs/>
                <w:color w:val="FFFFFF" w:themeColor="background1"/>
              </w:rPr>
            </w:pPr>
          </w:p>
        </w:tc>
        <w:tc>
          <w:tcPr>
            <w:tcW w:w="1275" w:type="dxa"/>
            <w:tcBorders>
              <w:top w:val="single" w:sz="4" w:space="0" w:color="FFFFFF"/>
              <w:left w:val="single" w:sz="4" w:space="0" w:color="FFFFFF"/>
              <w:bottom w:val="threeDEmboss" w:sz="24" w:space="0" w:color="002060"/>
              <w:right w:val="single" w:sz="4" w:space="0" w:color="FFFFFF"/>
            </w:tcBorders>
            <w:shd w:val="clear" w:color="auto" w:fill="969696" w:themeFill="accent3"/>
          </w:tcPr>
          <w:p w14:paraId="616AE842" w14:textId="77777777" w:rsidR="003168F8" w:rsidRPr="00662CBC" w:rsidRDefault="003168F8" w:rsidP="006064D6">
            <w:pPr>
              <w:jc w:val="center"/>
              <w:rPr>
                <w:b/>
                <w:bCs/>
                <w:color w:val="FFFFFF" w:themeColor="background1"/>
              </w:rPr>
            </w:pPr>
          </w:p>
        </w:tc>
        <w:tc>
          <w:tcPr>
            <w:tcW w:w="1153" w:type="dxa"/>
            <w:tcBorders>
              <w:top w:val="single" w:sz="4" w:space="0" w:color="FFFFFF"/>
              <w:left w:val="single" w:sz="4" w:space="0" w:color="FFFFFF"/>
              <w:bottom w:val="threeDEmboss" w:sz="24" w:space="0" w:color="002060"/>
              <w:right w:val="single" w:sz="4" w:space="0" w:color="FFFFFF"/>
            </w:tcBorders>
            <w:shd w:val="clear" w:color="auto" w:fill="969696" w:themeFill="accent3"/>
          </w:tcPr>
          <w:p w14:paraId="5D5D0A76" w14:textId="77777777" w:rsidR="003168F8" w:rsidRPr="00662CBC" w:rsidRDefault="003168F8" w:rsidP="006064D6">
            <w:pPr>
              <w:jc w:val="center"/>
              <w:rPr>
                <w:b/>
                <w:bCs/>
                <w:color w:val="FFFFFF" w:themeColor="background1"/>
              </w:rPr>
            </w:pPr>
          </w:p>
        </w:tc>
        <w:tc>
          <w:tcPr>
            <w:tcW w:w="927" w:type="dxa"/>
            <w:tcBorders>
              <w:top w:val="single" w:sz="4" w:space="0" w:color="FFFFFF"/>
              <w:left w:val="single" w:sz="4" w:space="0" w:color="FFFFFF"/>
              <w:bottom w:val="threeDEmboss" w:sz="24" w:space="0" w:color="002060"/>
              <w:right w:val="single" w:sz="4" w:space="0" w:color="FFFFFF"/>
            </w:tcBorders>
            <w:shd w:val="clear" w:color="auto" w:fill="969696" w:themeFill="accent3"/>
          </w:tcPr>
          <w:p w14:paraId="55672C94" w14:textId="77777777" w:rsidR="003168F8" w:rsidRPr="00662CBC" w:rsidRDefault="003168F8" w:rsidP="006064D6">
            <w:pPr>
              <w:jc w:val="center"/>
              <w:rPr>
                <w:b/>
                <w:bCs/>
                <w:color w:val="FFFFFF" w:themeColor="background1"/>
              </w:rPr>
            </w:pPr>
          </w:p>
        </w:tc>
        <w:tc>
          <w:tcPr>
            <w:tcW w:w="1270" w:type="dxa"/>
            <w:tcBorders>
              <w:top w:val="single" w:sz="4" w:space="0" w:color="FFFFFF"/>
              <w:left w:val="single" w:sz="4" w:space="0" w:color="FFFFFF"/>
              <w:bottom w:val="threeDEmboss" w:sz="24" w:space="0" w:color="002060"/>
              <w:right w:val="single" w:sz="4" w:space="0" w:color="FFFFFF"/>
            </w:tcBorders>
            <w:shd w:val="clear" w:color="auto" w:fill="098C44"/>
          </w:tcPr>
          <w:p w14:paraId="72261031" w14:textId="77777777" w:rsidR="003168F8" w:rsidRPr="00662CBC" w:rsidRDefault="003168F8" w:rsidP="006064D6">
            <w:pPr>
              <w:jc w:val="center"/>
              <w:rPr>
                <w:b/>
                <w:bCs/>
                <w:color w:val="FFFFFF" w:themeColor="background1"/>
              </w:rPr>
            </w:pPr>
          </w:p>
        </w:tc>
        <w:tc>
          <w:tcPr>
            <w:tcW w:w="1795" w:type="dxa"/>
            <w:tcBorders>
              <w:top w:val="single" w:sz="4" w:space="0" w:color="FFFFFF"/>
              <w:left w:val="single" w:sz="4" w:space="0" w:color="FFFFFF"/>
              <w:bottom w:val="threeDEmboss" w:sz="24" w:space="0" w:color="002060"/>
              <w:right w:val="single" w:sz="4" w:space="0" w:color="FFFFFF"/>
            </w:tcBorders>
            <w:shd w:val="clear" w:color="auto" w:fill="969696"/>
          </w:tcPr>
          <w:p w14:paraId="39480D41" w14:textId="77777777" w:rsidR="003168F8" w:rsidRPr="00662CBC" w:rsidRDefault="003168F8" w:rsidP="006064D6">
            <w:pPr>
              <w:jc w:val="center"/>
              <w:rPr>
                <w:b/>
                <w:bCs/>
                <w:color w:val="FFFFFF" w:themeColor="background1"/>
              </w:rPr>
            </w:pPr>
          </w:p>
        </w:tc>
        <w:tc>
          <w:tcPr>
            <w:tcW w:w="1495" w:type="dxa"/>
            <w:tcBorders>
              <w:top w:val="single" w:sz="4" w:space="0" w:color="FFFFFF"/>
              <w:left w:val="single" w:sz="4" w:space="0" w:color="FFFFFF"/>
              <w:bottom w:val="threeDEmboss" w:sz="24" w:space="0" w:color="002060"/>
              <w:right w:val="single" w:sz="4" w:space="0" w:color="FFFFFF"/>
            </w:tcBorders>
            <w:shd w:val="horzCross" w:color="098C44" w:fill="auto"/>
          </w:tcPr>
          <w:p w14:paraId="1C314E5B" w14:textId="77777777" w:rsidR="003168F8" w:rsidRPr="00662CBC" w:rsidRDefault="003168F8" w:rsidP="006064D6">
            <w:pPr>
              <w:jc w:val="center"/>
              <w:rPr>
                <w:b/>
                <w:bCs/>
                <w:color w:val="5F5F5F" w:themeColor="accent5"/>
              </w:rPr>
            </w:pPr>
            <w:r w:rsidRPr="00662CBC">
              <w:rPr>
                <w:b/>
                <w:bCs/>
                <w:color w:val="000000" w:themeColor="text2"/>
              </w:rPr>
              <w:t xml:space="preserve">Badly implemented and seemingly only in the private sector </w:t>
            </w:r>
          </w:p>
        </w:tc>
      </w:tr>
      <w:tr w:rsidR="003168F8" w:rsidRPr="00662CBC" w14:paraId="2116F6AC" w14:textId="77777777" w:rsidTr="00E952C0">
        <w:tc>
          <w:tcPr>
            <w:tcW w:w="426" w:type="dxa"/>
            <w:tcBorders>
              <w:top w:val="threeDEmboss" w:sz="24" w:space="0" w:color="002060"/>
              <w:left w:val="threeDEmboss" w:sz="24" w:space="0" w:color="002060"/>
              <w:bottom w:val="threeDEmboss" w:sz="24" w:space="0" w:color="002060"/>
              <w:right w:val="single" w:sz="4" w:space="0" w:color="FFFFFF"/>
            </w:tcBorders>
          </w:tcPr>
          <w:p w14:paraId="1BCAC704"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threeDEmboss" w:sz="24" w:space="0" w:color="002060"/>
              <w:left w:val="single" w:sz="4" w:space="0" w:color="FFFFFF"/>
              <w:bottom w:val="threeDEmboss" w:sz="24" w:space="0" w:color="002060"/>
              <w:right w:val="single" w:sz="4" w:space="0" w:color="FFFFFF"/>
            </w:tcBorders>
          </w:tcPr>
          <w:p w14:paraId="4D41A830" w14:textId="77777777" w:rsidR="003168F8" w:rsidRPr="00662CBC" w:rsidRDefault="003168F8" w:rsidP="006064D6">
            <w:r w:rsidRPr="00662CBC">
              <w:t>The Netherlands</w:t>
            </w:r>
          </w:p>
        </w:tc>
        <w:tc>
          <w:tcPr>
            <w:tcW w:w="1111" w:type="dxa"/>
            <w:tcBorders>
              <w:top w:val="threeDEmboss" w:sz="24" w:space="0" w:color="002060"/>
              <w:left w:val="single" w:sz="4" w:space="0" w:color="FFFFFF"/>
              <w:bottom w:val="threeDEmboss" w:sz="24" w:space="0" w:color="002060"/>
              <w:right w:val="single" w:sz="4" w:space="0" w:color="FFFFFF"/>
            </w:tcBorders>
            <w:shd w:val="clear" w:color="auto" w:fill="C00000"/>
          </w:tcPr>
          <w:p w14:paraId="6ADE1B11" w14:textId="77777777" w:rsidR="003168F8" w:rsidRPr="00662CBC" w:rsidRDefault="003168F8" w:rsidP="006064D6">
            <w:pPr>
              <w:jc w:val="center"/>
              <w:rPr>
                <w:b/>
                <w:bCs/>
                <w:color w:val="FFFFFF" w:themeColor="background1"/>
              </w:rPr>
            </w:pPr>
          </w:p>
        </w:tc>
        <w:tc>
          <w:tcPr>
            <w:tcW w:w="1561" w:type="dxa"/>
            <w:tcBorders>
              <w:top w:val="threeDEmboss" w:sz="24" w:space="0" w:color="002060"/>
              <w:left w:val="single" w:sz="4" w:space="0" w:color="FFFFFF"/>
              <w:bottom w:val="threeDEmboss" w:sz="24" w:space="0" w:color="002060"/>
              <w:right w:val="single" w:sz="4" w:space="0" w:color="FFFFFF"/>
            </w:tcBorders>
            <w:shd w:val="clear" w:color="auto" w:fill="C00000"/>
          </w:tcPr>
          <w:p w14:paraId="65C14F03" w14:textId="77777777" w:rsidR="003168F8" w:rsidRPr="00662CBC" w:rsidRDefault="003168F8" w:rsidP="006064D6">
            <w:pPr>
              <w:jc w:val="center"/>
              <w:rPr>
                <w:b/>
                <w:bCs/>
                <w:color w:val="FFFFFF" w:themeColor="background1"/>
              </w:rPr>
            </w:pPr>
          </w:p>
        </w:tc>
        <w:tc>
          <w:tcPr>
            <w:tcW w:w="1269" w:type="dxa"/>
            <w:tcBorders>
              <w:top w:val="threeDEmboss" w:sz="24" w:space="0" w:color="002060"/>
              <w:left w:val="single" w:sz="4" w:space="0" w:color="FFFFFF"/>
              <w:bottom w:val="threeDEmboss" w:sz="24" w:space="0" w:color="002060"/>
              <w:right w:val="single" w:sz="4" w:space="0" w:color="FFFFFF"/>
            </w:tcBorders>
            <w:shd w:val="clear" w:color="auto" w:fill="F2FB93"/>
          </w:tcPr>
          <w:p w14:paraId="44011F66" w14:textId="77777777" w:rsidR="003168F8" w:rsidRPr="00662CBC" w:rsidRDefault="003168F8" w:rsidP="006064D6">
            <w:pPr>
              <w:jc w:val="center"/>
              <w:rPr>
                <w:b/>
                <w:bCs/>
                <w:color w:val="FFFFFF" w:themeColor="background1"/>
              </w:rPr>
            </w:pPr>
          </w:p>
        </w:tc>
        <w:tc>
          <w:tcPr>
            <w:tcW w:w="0" w:type="auto"/>
            <w:tcBorders>
              <w:top w:val="threeDEmboss" w:sz="24" w:space="0" w:color="002060"/>
              <w:left w:val="single" w:sz="4" w:space="0" w:color="FFFFFF"/>
              <w:bottom w:val="threeDEmboss" w:sz="24" w:space="0" w:color="002060"/>
              <w:right w:val="single" w:sz="4" w:space="0" w:color="FFFFFF"/>
            </w:tcBorders>
            <w:shd w:val="clear" w:color="auto" w:fill="098C44"/>
          </w:tcPr>
          <w:p w14:paraId="7A1E68D0" w14:textId="77777777" w:rsidR="003168F8" w:rsidRPr="00662CBC" w:rsidRDefault="003168F8" w:rsidP="006064D6">
            <w:pPr>
              <w:jc w:val="center"/>
              <w:rPr>
                <w:b/>
                <w:bCs/>
                <w:color w:val="FFFFFF" w:themeColor="background1"/>
              </w:rPr>
            </w:pPr>
            <w:r w:rsidRPr="00662CBC">
              <w:rPr>
                <w:b/>
                <w:bCs/>
                <w:color w:val="FFFFFF" w:themeColor="background1"/>
              </w:rPr>
              <w:t>L</w:t>
            </w:r>
          </w:p>
        </w:tc>
        <w:tc>
          <w:tcPr>
            <w:tcW w:w="1275" w:type="dxa"/>
            <w:tcBorders>
              <w:top w:val="threeDEmboss" w:sz="24" w:space="0" w:color="002060"/>
              <w:left w:val="single" w:sz="4" w:space="0" w:color="FFFFFF"/>
              <w:bottom w:val="threeDEmboss" w:sz="24" w:space="0" w:color="002060"/>
              <w:right w:val="single" w:sz="4" w:space="0" w:color="FFFFFF"/>
            </w:tcBorders>
            <w:shd w:val="clear" w:color="auto" w:fill="C00000"/>
          </w:tcPr>
          <w:p w14:paraId="7BA7EED1" w14:textId="77777777" w:rsidR="003168F8" w:rsidRPr="00662CBC" w:rsidRDefault="003168F8" w:rsidP="006064D6">
            <w:pPr>
              <w:jc w:val="center"/>
              <w:rPr>
                <w:b/>
                <w:bCs/>
                <w:color w:val="FFFFFF" w:themeColor="background1"/>
              </w:rPr>
            </w:pPr>
          </w:p>
        </w:tc>
        <w:tc>
          <w:tcPr>
            <w:tcW w:w="1153" w:type="dxa"/>
            <w:tcBorders>
              <w:top w:val="threeDEmboss" w:sz="24" w:space="0" w:color="002060"/>
              <w:left w:val="single" w:sz="4" w:space="0" w:color="FFFFFF"/>
              <w:bottom w:val="threeDEmboss" w:sz="24" w:space="0" w:color="002060"/>
              <w:right w:val="single" w:sz="4" w:space="0" w:color="FFFFFF"/>
            </w:tcBorders>
            <w:shd w:val="clear" w:color="auto" w:fill="92D050"/>
          </w:tcPr>
          <w:p w14:paraId="7481C07C" w14:textId="747CBA32" w:rsidR="003168F8" w:rsidRPr="00E952C0" w:rsidRDefault="003168F8" w:rsidP="006064D6">
            <w:pPr>
              <w:jc w:val="center"/>
              <w:rPr>
                <w:b/>
                <w:bCs/>
                <w:color w:val="FFFFFF" w:themeColor="background1"/>
              </w:rPr>
            </w:pPr>
          </w:p>
        </w:tc>
        <w:tc>
          <w:tcPr>
            <w:tcW w:w="927" w:type="dxa"/>
            <w:tcBorders>
              <w:top w:val="threeDEmboss" w:sz="24" w:space="0" w:color="002060"/>
              <w:left w:val="single" w:sz="4" w:space="0" w:color="FFFFFF"/>
              <w:bottom w:val="threeDEmboss" w:sz="24" w:space="0" w:color="002060"/>
              <w:right w:val="single" w:sz="4" w:space="0" w:color="FFFFFF"/>
            </w:tcBorders>
            <w:shd w:val="clear" w:color="auto" w:fill="92D050"/>
          </w:tcPr>
          <w:p w14:paraId="30C238ED" w14:textId="77777777" w:rsidR="003168F8" w:rsidRPr="00662CBC" w:rsidRDefault="003168F8" w:rsidP="006064D6">
            <w:pPr>
              <w:jc w:val="center"/>
              <w:rPr>
                <w:b/>
                <w:bCs/>
                <w:color w:val="FFFFFF" w:themeColor="background1"/>
              </w:rPr>
            </w:pPr>
          </w:p>
        </w:tc>
        <w:tc>
          <w:tcPr>
            <w:tcW w:w="1270" w:type="dxa"/>
            <w:tcBorders>
              <w:top w:val="threeDEmboss" w:sz="24" w:space="0" w:color="002060"/>
              <w:left w:val="single" w:sz="4" w:space="0" w:color="FFFFFF"/>
              <w:bottom w:val="threeDEmboss" w:sz="24" w:space="0" w:color="002060"/>
              <w:right w:val="single" w:sz="4" w:space="0" w:color="FFFFFF"/>
            </w:tcBorders>
            <w:shd w:val="clear" w:color="auto" w:fill="098C44"/>
          </w:tcPr>
          <w:p w14:paraId="260EBAE2" w14:textId="77777777" w:rsidR="003168F8" w:rsidRPr="00662CBC" w:rsidRDefault="003168F8" w:rsidP="006064D6">
            <w:pPr>
              <w:jc w:val="center"/>
              <w:rPr>
                <w:b/>
                <w:bCs/>
                <w:color w:val="FFFFFF" w:themeColor="background1"/>
              </w:rPr>
            </w:pPr>
          </w:p>
        </w:tc>
        <w:tc>
          <w:tcPr>
            <w:tcW w:w="1795" w:type="dxa"/>
            <w:tcBorders>
              <w:top w:val="threeDEmboss" w:sz="24" w:space="0" w:color="002060"/>
              <w:left w:val="single" w:sz="4" w:space="0" w:color="FFFFFF"/>
              <w:bottom w:val="threeDEmboss" w:sz="24" w:space="0" w:color="002060"/>
              <w:right w:val="single" w:sz="4" w:space="0" w:color="FFFFFF"/>
            </w:tcBorders>
            <w:shd w:val="clear" w:color="auto" w:fill="098C44"/>
          </w:tcPr>
          <w:p w14:paraId="1E244154" w14:textId="77777777" w:rsidR="003168F8" w:rsidRPr="00662CBC" w:rsidRDefault="003168F8" w:rsidP="006064D6">
            <w:pPr>
              <w:jc w:val="center"/>
              <w:rPr>
                <w:b/>
                <w:bCs/>
                <w:color w:val="FFFFFF" w:themeColor="background1"/>
              </w:rPr>
            </w:pPr>
            <w:r w:rsidRPr="00662CBC">
              <w:rPr>
                <w:b/>
                <w:bCs/>
                <w:color w:val="FFFFFF" w:themeColor="background1"/>
              </w:rPr>
              <w:t>(Semi)Public administration, government, and companies</w:t>
            </w:r>
          </w:p>
        </w:tc>
        <w:tc>
          <w:tcPr>
            <w:tcW w:w="1495" w:type="dxa"/>
            <w:tcBorders>
              <w:top w:val="threeDEmboss" w:sz="24" w:space="0" w:color="002060"/>
              <w:left w:val="single" w:sz="4" w:space="0" w:color="FFFFFF"/>
              <w:bottom w:val="threeDEmboss" w:sz="24" w:space="0" w:color="002060"/>
              <w:right w:val="threeDEmboss" w:sz="24" w:space="0" w:color="002060"/>
            </w:tcBorders>
            <w:shd w:val="clear" w:color="auto" w:fill="098C44"/>
          </w:tcPr>
          <w:p w14:paraId="6FEAE318" w14:textId="77777777" w:rsidR="003168F8" w:rsidRPr="00662CBC" w:rsidRDefault="003168F8" w:rsidP="006064D6">
            <w:pPr>
              <w:jc w:val="center"/>
              <w:rPr>
                <w:b/>
                <w:bCs/>
                <w:color w:val="FFFFFF" w:themeColor="background1"/>
              </w:rPr>
            </w:pPr>
            <w:r w:rsidRPr="00662CBC">
              <w:rPr>
                <w:b/>
                <w:bCs/>
                <w:color w:val="FFFFFF" w:themeColor="background1"/>
              </w:rPr>
              <w:t>L</w:t>
            </w:r>
          </w:p>
        </w:tc>
      </w:tr>
      <w:tr w:rsidR="003168F8" w:rsidRPr="00662CBC" w14:paraId="33AD3CF9" w14:textId="77777777" w:rsidTr="00724A21">
        <w:tc>
          <w:tcPr>
            <w:tcW w:w="426" w:type="dxa"/>
            <w:tcBorders>
              <w:top w:val="threeDEmboss" w:sz="24" w:space="0" w:color="002060"/>
              <w:left w:val="single" w:sz="4" w:space="0" w:color="FFFFFF"/>
              <w:bottom w:val="threeDEmboss" w:sz="24" w:space="0" w:color="00B0F0"/>
              <w:right w:val="single" w:sz="4" w:space="0" w:color="FFFFFF"/>
            </w:tcBorders>
          </w:tcPr>
          <w:p w14:paraId="0901EE24"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threeDEmboss" w:sz="24" w:space="0" w:color="002060"/>
              <w:left w:val="single" w:sz="4" w:space="0" w:color="FFFFFF"/>
              <w:bottom w:val="threeDEmboss" w:sz="24" w:space="0" w:color="00B0F0"/>
              <w:right w:val="single" w:sz="4" w:space="0" w:color="FFFFFF"/>
            </w:tcBorders>
          </w:tcPr>
          <w:p w14:paraId="2A19A3C3" w14:textId="77777777" w:rsidR="003168F8" w:rsidRPr="00662CBC" w:rsidRDefault="003168F8" w:rsidP="006064D6">
            <w:r w:rsidRPr="00662CBC">
              <w:t>North Macedonia</w:t>
            </w:r>
          </w:p>
        </w:tc>
        <w:tc>
          <w:tcPr>
            <w:tcW w:w="1111" w:type="dxa"/>
            <w:tcBorders>
              <w:top w:val="threeDEmboss" w:sz="24" w:space="0" w:color="002060"/>
              <w:left w:val="single" w:sz="4" w:space="0" w:color="FFFFFF"/>
              <w:bottom w:val="threeDEmboss" w:sz="24" w:space="0" w:color="00B0F0"/>
              <w:right w:val="single" w:sz="4" w:space="0" w:color="FFFFFF"/>
            </w:tcBorders>
            <w:shd w:val="clear" w:color="auto" w:fill="C00000"/>
          </w:tcPr>
          <w:p w14:paraId="34AC2AA9" w14:textId="77777777" w:rsidR="003168F8" w:rsidRPr="00662CBC" w:rsidRDefault="003168F8" w:rsidP="006064D6">
            <w:pPr>
              <w:jc w:val="center"/>
              <w:rPr>
                <w:b/>
                <w:bCs/>
                <w:color w:val="FFFFFF" w:themeColor="background1"/>
              </w:rPr>
            </w:pPr>
          </w:p>
        </w:tc>
        <w:tc>
          <w:tcPr>
            <w:tcW w:w="1561" w:type="dxa"/>
            <w:tcBorders>
              <w:top w:val="threeDEmboss" w:sz="24" w:space="0" w:color="002060"/>
              <w:left w:val="single" w:sz="4" w:space="0" w:color="FFFFFF"/>
              <w:bottom w:val="threeDEmboss" w:sz="24" w:space="0" w:color="00B0F0"/>
              <w:right w:val="single" w:sz="4" w:space="0" w:color="FFFFFF"/>
            </w:tcBorders>
            <w:shd w:val="clear" w:color="auto" w:fill="098C44"/>
          </w:tcPr>
          <w:p w14:paraId="4BED5F6C" w14:textId="77777777" w:rsidR="003168F8" w:rsidRPr="00662CBC" w:rsidRDefault="003168F8" w:rsidP="006064D6">
            <w:pPr>
              <w:jc w:val="center"/>
              <w:rPr>
                <w:b/>
                <w:bCs/>
                <w:color w:val="FFFFFF" w:themeColor="background1"/>
              </w:rPr>
            </w:pPr>
            <w:r w:rsidRPr="00662CBC">
              <w:rPr>
                <w:b/>
                <w:bCs/>
                <w:color w:val="FFFFFF" w:themeColor="background1"/>
              </w:rPr>
              <w:t>L</w:t>
            </w:r>
          </w:p>
        </w:tc>
        <w:tc>
          <w:tcPr>
            <w:tcW w:w="1269" w:type="dxa"/>
            <w:tcBorders>
              <w:top w:val="threeDEmboss" w:sz="24" w:space="0" w:color="002060"/>
              <w:left w:val="single" w:sz="4" w:space="0" w:color="FFFFFF"/>
              <w:bottom w:val="threeDEmboss" w:sz="24" w:space="0" w:color="00B0F0"/>
              <w:right w:val="single" w:sz="4" w:space="0" w:color="FFFFFF"/>
            </w:tcBorders>
            <w:shd w:val="clear" w:color="auto" w:fill="F2FB93"/>
          </w:tcPr>
          <w:p w14:paraId="6C729DC1" w14:textId="77777777" w:rsidR="003168F8" w:rsidRPr="00662CBC" w:rsidRDefault="003168F8" w:rsidP="006064D6">
            <w:pPr>
              <w:jc w:val="center"/>
              <w:rPr>
                <w:b/>
                <w:bCs/>
                <w:color w:val="FFFFFF" w:themeColor="background1"/>
              </w:rPr>
            </w:pPr>
          </w:p>
        </w:tc>
        <w:tc>
          <w:tcPr>
            <w:tcW w:w="0" w:type="auto"/>
            <w:tcBorders>
              <w:top w:val="threeDEmboss" w:sz="24" w:space="0" w:color="002060"/>
              <w:left w:val="single" w:sz="4" w:space="0" w:color="FFFFFF"/>
              <w:bottom w:val="threeDEmboss" w:sz="24" w:space="0" w:color="00B0F0"/>
              <w:right w:val="single" w:sz="4" w:space="0" w:color="FFFFFF"/>
            </w:tcBorders>
            <w:shd w:val="clear" w:color="auto" w:fill="C00000"/>
          </w:tcPr>
          <w:p w14:paraId="041AE80F" w14:textId="77777777" w:rsidR="003168F8" w:rsidRPr="00662CBC" w:rsidRDefault="003168F8" w:rsidP="006064D6">
            <w:pPr>
              <w:jc w:val="center"/>
              <w:rPr>
                <w:b/>
                <w:bCs/>
                <w:color w:val="FFFFFF" w:themeColor="background1"/>
              </w:rPr>
            </w:pPr>
          </w:p>
        </w:tc>
        <w:tc>
          <w:tcPr>
            <w:tcW w:w="1275" w:type="dxa"/>
            <w:tcBorders>
              <w:top w:val="threeDEmboss" w:sz="24" w:space="0" w:color="002060"/>
              <w:left w:val="single" w:sz="4" w:space="0" w:color="FFFFFF"/>
              <w:bottom w:val="threeDEmboss" w:sz="24" w:space="0" w:color="00B0F0"/>
              <w:right w:val="single" w:sz="4" w:space="0" w:color="FFFFFF"/>
            </w:tcBorders>
            <w:shd w:val="clear" w:color="auto" w:fill="969696" w:themeFill="accent3"/>
          </w:tcPr>
          <w:p w14:paraId="17452D24" w14:textId="77777777" w:rsidR="003168F8" w:rsidRPr="00662CBC" w:rsidRDefault="003168F8" w:rsidP="006064D6">
            <w:pPr>
              <w:jc w:val="center"/>
              <w:rPr>
                <w:b/>
                <w:bCs/>
                <w:color w:val="FFFFFF" w:themeColor="background1"/>
              </w:rPr>
            </w:pPr>
          </w:p>
        </w:tc>
        <w:tc>
          <w:tcPr>
            <w:tcW w:w="1153" w:type="dxa"/>
            <w:tcBorders>
              <w:top w:val="threeDEmboss" w:sz="24" w:space="0" w:color="002060"/>
              <w:left w:val="single" w:sz="4" w:space="0" w:color="FFFFFF"/>
              <w:bottom w:val="threeDEmboss" w:sz="24" w:space="0" w:color="00B0F0"/>
              <w:right w:val="single" w:sz="4" w:space="0" w:color="FFFFFF"/>
            </w:tcBorders>
            <w:shd w:val="clear" w:color="auto" w:fill="969696" w:themeFill="accent3"/>
          </w:tcPr>
          <w:p w14:paraId="53E17F91" w14:textId="77777777" w:rsidR="003168F8" w:rsidRPr="00662CBC" w:rsidRDefault="003168F8" w:rsidP="006064D6">
            <w:pPr>
              <w:jc w:val="center"/>
              <w:rPr>
                <w:b/>
                <w:bCs/>
                <w:color w:val="FFFFFF" w:themeColor="background1"/>
              </w:rPr>
            </w:pPr>
          </w:p>
        </w:tc>
        <w:tc>
          <w:tcPr>
            <w:tcW w:w="927" w:type="dxa"/>
            <w:tcBorders>
              <w:top w:val="threeDEmboss" w:sz="24" w:space="0" w:color="002060"/>
              <w:left w:val="single" w:sz="4" w:space="0" w:color="FFFFFF"/>
              <w:bottom w:val="threeDEmboss" w:sz="24" w:space="0" w:color="00B0F0"/>
              <w:right w:val="single" w:sz="4" w:space="0" w:color="FFFFFF"/>
            </w:tcBorders>
            <w:shd w:val="clear" w:color="auto" w:fill="969696" w:themeFill="accent3"/>
          </w:tcPr>
          <w:p w14:paraId="0CE7AE14" w14:textId="77777777" w:rsidR="003168F8" w:rsidRPr="00662CBC" w:rsidRDefault="003168F8" w:rsidP="006064D6">
            <w:pPr>
              <w:jc w:val="center"/>
              <w:rPr>
                <w:b/>
                <w:bCs/>
                <w:color w:val="FFFFFF" w:themeColor="background1"/>
              </w:rPr>
            </w:pPr>
          </w:p>
        </w:tc>
        <w:tc>
          <w:tcPr>
            <w:tcW w:w="1270" w:type="dxa"/>
            <w:tcBorders>
              <w:top w:val="threeDEmboss" w:sz="24" w:space="0" w:color="002060"/>
              <w:left w:val="single" w:sz="4" w:space="0" w:color="FFFFFF"/>
              <w:bottom w:val="threeDEmboss" w:sz="24" w:space="0" w:color="00B0F0"/>
              <w:right w:val="single" w:sz="4" w:space="0" w:color="FFFFFF"/>
            </w:tcBorders>
            <w:shd w:val="clear" w:color="auto" w:fill="098C44"/>
          </w:tcPr>
          <w:p w14:paraId="2F0DE4EC" w14:textId="77777777" w:rsidR="003168F8" w:rsidRPr="00662CBC" w:rsidRDefault="003168F8" w:rsidP="006064D6">
            <w:pPr>
              <w:jc w:val="center"/>
              <w:rPr>
                <w:b/>
                <w:bCs/>
                <w:color w:val="FFFFFF" w:themeColor="background1"/>
              </w:rPr>
            </w:pPr>
          </w:p>
        </w:tc>
        <w:tc>
          <w:tcPr>
            <w:tcW w:w="1795" w:type="dxa"/>
            <w:tcBorders>
              <w:top w:val="threeDEmboss" w:sz="24" w:space="0" w:color="002060"/>
              <w:left w:val="single" w:sz="4" w:space="0" w:color="FFFFFF"/>
              <w:bottom w:val="threeDEmboss" w:sz="24" w:space="0" w:color="00B0F0"/>
              <w:right w:val="single" w:sz="4" w:space="0" w:color="FFFFFF"/>
            </w:tcBorders>
            <w:shd w:val="clear" w:color="auto" w:fill="969696" w:themeFill="accent3"/>
          </w:tcPr>
          <w:p w14:paraId="4313F94B" w14:textId="77777777" w:rsidR="003168F8" w:rsidRPr="00662CBC" w:rsidRDefault="003168F8" w:rsidP="006064D6">
            <w:pPr>
              <w:jc w:val="center"/>
              <w:rPr>
                <w:b/>
                <w:bCs/>
                <w:color w:val="FFFFFF" w:themeColor="background1"/>
              </w:rPr>
            </w:pPr>
          </w:p>
        </w:tc>
        <w:tc>
          <w:tcPr>
            <w:tcW w:w="1495" w:type="dxa"/>
            <w:tcBorders>
              <w:top w:val="threeDEmboss" w:sz="24" w:space="0" w:color="002060"/>
              <w:left w:val="single" w:sz="4" w:space="0" w:color="FFFFFF"/>
              <w:bottom w:val="threeDEmboss" w:sz="24" w:space="0" w:color="00B0F0"/>
            </w:tcBorders>
            <w:shd w:val="clear" w:color="auto" w:fill="C00000"/>
          </w:tcPr>
          <w:p w14:paraId="704F77A1" w14:textId="77777777" w:rsidR="003168F8" w:rsidRPr="00662CBC" w:rsidRDefault="003168F8" w:rsidP="006064D6">
            <w:pPr>
              <w:jc w:val="center"/>
              <w:rPr>
                <w:b/>
                <w:bCs/>
                <w:color w:val="FFFFFF" w:themeColor="background1"/>
              </w:rPr>
            </w:pPr>
          </w:p>
        </w:tc>
      </w:tr>
      <w:tr w:rsidR="003168F8" w:rsidRPr="00662CBC" w14:paraId="524C1BD3" w14:textId="77777777" w:rsidTr="00DF1384">
        <w:tc>
          <w:tcPr>
            <w:tcW w:w="426" w:type="dxa"/>
            <w:tcBorders>
              <w:top w:val="threeDEmboss" w:sz="24" w:space="0" w:color="00B0F0"/>
              <w:left w:val="threeDEmboss" w:sz="24" w:space="0" w:color="00B0F0"/>
              <w:bottom w:val="threeDEmboss" w:sz="24" w:space="0" w:color="00B0F0"/>
              <w:right w:val="single" w:sz="4" w:space="0" w:color="FFFFFF"/>
            </w:tcBorders>
          </w:tcPr>
          <w:p w14:paraId="1808DC13"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threeDEmboss" w:sz="24" w:space="0" w:color="00B0F0"/>
              <w:left w:val="single" w:sz="4" w:space="0" w:color="FFFFFF"/>
              <w:bottom w:val="threeDEmboss" w:sz="24" w:space="0" w:color="00B0F0"/>
              <w:right w:val="single" w:sz="4" w:space="0" w:color="FFFFFF"/>
            </w:tcBorders>
          </w:tcPr>
          <w:p w14:paraId="26EF808C" w14:textId="77777777" w:rsidR="003168F8" w:rsidRPr="00662CBC" w:rsidRDefault="003168F8" w:rsidP="006064D6">
            <w:r w:rsidRPr="00662CBC">
              <w:t>Norway</w:t>
            </w:r>
          </w:p>
        </w:tc>
        <w:tc>
          <w:tcPr>
            <w:tcW w:w="1111" w:type="dxa"/>
            <w:tcBorders>
              <w:top w:val="threeDEmboss" w:sz="24" w:space="0" w:color="00B0F0"/>
              <w:left w:val="single" w:sz="4" w:space="0" w:color="FFFFFF"/>
              <w:bottom w:val="threeDEmboss" w:sz="24" w:space="0" w:color="00B0F0"/>
              <w:right w:val="single" w:sz="4" w:space="0" w:color="FFFFFF"/>
            </w:tcBorders>
            <w:shd w:val="clear" w:color="auto" w:fill="C00000"/>
          </w:tcPr>
          <w:p w14:paraId="4D2344D0" w14:textId="77777777" w:rsidR="003168F8" w:rsidRPr="00662CBC" w:rsidRDefault="003168F8" w:rsidP="006064D6">
            <w:pPr>
              <w:jc w:val="center"/>
              <w:rPr>
                <w:b/>
                <w:bCs/>
                <w:color w:val="FFFFFF" w:themeColor="background1"/>
              </w:rPr>
            </w:pPr>
          </w:p>
        </w:tc>
        <w:tc>
          <w:tcPr>
            <w:tcW w:w="1561" w:type="dxa"/>
            <w:tcBorders>
              <w:top w:val="threeDEmboss" w:sz="24" w:space="0" w:color="00B0F0"/>
              <w:left w:val="single" w:sz="4" w:space="0" w:color="FFFFFF"/>
              <w:bottom w:val="threeDEmboss" w:sz="24" w:space="0" w:color="00B0F0"/>
              <w:right w:val="single" w:sz="4" w:space="0" w:color="FFFFFF"/>
            </w:tcBorders>
            <w:shd w:val="clear" w:color="auto" w:fill="C00000"/>
          </w:tcPr>
          <w:p w14:paraId="5D13C41D" w14:textId="77777777" w:rsidR="003168F8" w:rsidRPr="00662CBC" w:rsidRDefault="003168F8" w:rsidP="006064D6">
            <w:pPr>
              <w:jc w:val="center"/>
              <w:rPr>
                <w:b/>
                <w:bCs/>
                <w:color w:val="FFFFFF" w:themeColor="background1"/>
              </w:rPr>
            </w:pPr>
          </w:p>
        </w:tc>
        <w:tc>
          <w:tcPr>
            <w:tcW w:w="1269" w:type="dxa"/>
            <w:tcBorders>
              <w:top w:val="threeDEmboss" w:sz="24" w:space="0" w:color="00B0F0"/>
              <w:left w:val="single" w:sz="4" w:space="0" w:color="FFFFFF"/>
              <w:bottom w:val="threeDEmboss" w:sz="24" w:space="0" w:color="00B0F0"/>
              <w:right w:val="single" w:sz="4" w:space="0" w:color="FFFFFF"/>
            </w:tcBorders>
            <w:shd w:val="clear" w:color="auto" w:fill="F2FB93"/>
          </w:tcPr>
          <w:p w14:paraId="5A578398" w14:textId="77777777" w:rsidR="003168F8" w:rsidRPr="00662CBC" w:rsidRDefault="003168F8" w:rsidP="006064D6">
            <w:pPr>
              <w:jc w:val="center"/>
              <w:rPr>
                <w:b/>
                <w:bCs/>
                <w:color w:val="FFFFFF" w:themeColor="background1"/>
              </w:rPr>
            </w:pPr>
          </w:p>
        </w:tc>
        <w:tc>
          <w:tcPr>
            <w:tcW w:w="0" w:type="auto"/>
            <w:tcBorders>
              <w:top w:val="threeDEmboss" w:sz="24" w:space="0" w:color="00B0F0"/>
              <w:left w:val="single" w:sz="4" w:space="0" w:color="FFFFFF"/>
              <w:bottom w:val="threeDEmboss" w:sz="24" w:space="0" w:color="00B0F0"/>
              <w:right w:val="single" w:sz="4" w:space="0" w:color="FFFFFF"/>
            </w:tcBorders>
            <w:shd w:val="clear" w:color="auto" w:fill="098C44"/>
          </w:tcPr>
          <w:p w14:paraId="6A60501C" w14:textId="77777777" w:rsidR="003168F8" w:rsidRPr="00662CBC" w:rsidRDefault="003168F8" w:rsidP="006064D6">
            <w:pPr>
              <w:jc w:val="center"/>
              <w:rPr>
                <w:b/>
                <w:bCs/>
                <w:color w:val="FFFFFF" w:themeColor="background1"/>
              </w:rPr>
            </w:pPr>
            <w:r w:rsidRPr="00662CBC">
              <w:rPr>
                <w:b/>
                <w:bCs/>
                <w:color w:val="FFFFFF" w:themeColor="background1"/>
              </w:rPr>
              <w:t>L</w:t>
            </w:r>
          </w:p>
        </w:tc>
        <w:tc>
          <w:tcPr>
            <w:tcW w:w="1275" w:type="dxa"/>
            <w:tcBorders>
              <w:top w:val="threeDEmboss" w:sz="24" w:space="0" w:color="00B0F0"/>
              <w:left w:val="single" w:sz="4" w:space="0" w:color="FFFFFF"/>
              <w:bottom w:val="threeDEmboss" w:sz="24" w:space="0" w:color="00B0F0"/>
              <w:right w:val="single" w:sz="4" w:space="0" w:color="FFFFFF"/>
            </w:tcBorders>
            <w:shd w:val="clear" w:color="auto" w:fill="C00000"/>
          </w:tcPr>
          <w:p w14:paraId="0BEE1F9C" w14:textId="77777777" w:rsidR="003168F8" w:rsidRPr="00662CBC" w:rsidRDefault="003168F8" w:rsidP="006064D6">
            <w:pPr>
              <w:jc w:val="center"/>
              <w:rPr>
                <w:b/>
                <w:bCs/>
                <w:color w:val="FFFFFF" w:themeColor="background1"/>
              </w:rPr>
            </w:pPr>
          </w:p>
        </w:tc>
        <w:tc>
          <w:tcPr>
            <w:tcW w:w="1153" w:type="dxa"/>
            <w:tcBorders>
              <w:top w:val="threeDEmboss" w:sz="24" w:space="0" w:color="00B0F0"/>
              <w:left w:val="single" w:sz="4" w:space="0" w:color="FFFFFF"/>
              <w:bottom w:val="threeDEmboss" w:sz="24" w:space="0" w:color="00B0F0"/>
              <w:right w:val="single" w:sz="4" w:space="0" w:color="FFFFFF"/>
            </w:tcBorders>
            <w:shd w:val="clear" w:color="auto" w:fill="969696" w:themeFill="accent3"/>
          </w:tcPr>
          <w:p w14:paraId="493F6A8E" w14:textId="77777777" w:rsidR="003168F8" w:rsidRPr="00662CBC" w:rsidRDefault="003168F8" w:rsidP="006064D6">
            <w:pPr>
              <w:jc w:val="center"/>
              <w:rPr>
                <w:b/>
                <w:bCs/>
                <w:color w:val="FFFFFF" w:themeColor="background1"/>
              </w:rPr>
            </w:pPr>
          </w:p>
        </w:tc>
        <w:tc>
          <w:tcPr>
            <w:tcW w:w="927" w:type="dxa"/>
            <w:tcBorders>
              <w:top w:val="threeDEmboss" w:sz="24" w:space="0" w:color="00B0F0"/>
              <w:left w:val="single" w:sz="4" w:space="0" w:color="FFFFFF"/>
              <w:bottom w:val="threeDEmboss" w:sz="24" w:space="0" w:color="00B0F0"/>
              <w:right w:val="single" w:sz="4" w:space="0" w:color="FFFFFF"/>
            </w:tcBorders>
            <w:shd w:val="clear" w:color="auto" w:fill="969696" w:themeFill="accent3"/>
          </w:tcPr>
          <w:p w14:paraId="20E79CFC" w14:textId="77777777" w:rsidR="003168F8" w:rsidRPr="00662CBC" w:rsidRDefault="003168F8" w:rsidP="006064D6">
            <w:pPr>
              <w:jc w:val="center"/>
              <w:rPr>
                <w:b/>
                <w:bCs/>
                <w:color w:val="FFFFFF" w:themeColor="background1"/>
              </w:rPr>
            </w:pPr>
          </w:p>
        </w:tc>
        <w:tc>
          <w:tcPr>
            <w:tcW w:w="1270" w:type="dxa"/>
            <w:tcBorders>
              <w:top w:val="threeDEmboss" w:sz="24" w:space="0" w:color="00B0F0"/>
              <w:left w:val="single" w:sz="4" w:space="0" w:color="FFFFFF"/>
              <w:bottom w:val="threeDEmboss" w:sz="24" w:space="0" w:color="00B0F0"/>
              <w:right w:val="single" w:sz="4" w:space="0" w:color="FFFFFF"/>
            </w:tcBorders>
            <w:shd w:val="clear" w:color="auto" w:fill="098C44"/>
          </w:tcPr>
          <w:p w14:paraId="707E2964" w14:textId="77777777" w:rsidR="003168F8" w:rsidRPr="00662CBC" w:rsidRDefault="003168F8" w:rsidP="006064D6">
            <w:pPr>
              <w:jc w:val="center"/>
              <w:rPr>
                <w:b/>
                <w:bCs/>
                <w:color w:val="FFFFFF" w:themeColor="background1"/>
              </w:rPr>
            </w:pPr>
          </w:p>
        </w:tc>
        <w:tc>
          <w:tcPr>
            <w:tcW w:w="1795" w:type="dxa"/>
            <w:tcBorders>
              <w:top w:val="threeDEmboss" w:sz="24" w:space="0" w:color="00B0F0"/>
              <w:left w:val="single" w:sz="4" w:space="0" w:color="FFFFFF"/>
              <w:bottom w:val="threeDEmboss" w:sz="24" w:space="0" w:color="00B0F0"/>
              <w:right w:val="single" w:sz="4" w:space="0" w:color="FFFFFF"/>
            </w:tcBorders>
            <w:shd w:val="clear" w:color="auto" w:fill="969696" w:themeFill="accent3"/>
          </w:tcPr>
          <w:p w14:paraId="3306C3DC" w14:textId="77777777" w:rsidR="003168F8" w:rsidRPr="00662CBC" w:rsidRDefault="003168F8" w:rsidP="006064D6">
            <w:pPr>
              <w:jc w:val="center"/>
              <w:rPr>
                <w:b/>
                <w:bCs/>
                <w:color w:val="FFFFFF" w:themeColor="background1"/>
              </w:rPr>
            </w:pPr>
          </w:p>
        </w:tc>
        <w:tc>
          <w:tcPr>
            <w:tcW w:w="1495" w:type="dxa"/>
            <w:tcBorders>
              <w:top w:val="threeDEmboss" w:sz="24" w:space="0" w:color="00B0F0"/>
              <w:left w:val="single" w:sz="4" w:space="0" w:color="FFFFFF"/>
              <w:bottom w:val="threeDEmboss" w:sz="24" w:space="0" w:color="00B0F0"/>
              <w:right w:val="threeDEmboss" w:sz="24" w:space="0" w:color="00B0F0"/>
            </w:tcBorders>
            <w:shd w:val="clear" w:color="auto" w:fill="C00000"/>
          </w:tcPr>
          <w:p w14:paraId="2594A35E" w14:textId="77777777" w:rsidR="003168F8" w:rsidRPr="00662CBC" w:rsidRDefault="003168F8" w:rsidP="006064D6">
            <w:pPr>
              <w:jc w:val="center"/>
              <w:rPr>
                <w:b/>
                <w:bCs/>
                <w:color w:val="FFFFFF" w:themeColor="background1"/>
              </w:rPr>
            </w:pPr>
          </w:p>
        </w:tc>
      </w:tr>
      <w:tr w:rsidR="003168F8" w:rsidRPr="00662CBC" w14:paraId="5705B7FA" w14:textId="77777777" w:rsidTr="004C2495">
        <w:tc>
          <w:tcPr>
            <w:tcW w:w="426" w:type="dxa"/>
            <w:tcBorders>
              <w:top w:val="threeDEmboss" w:sz="24" w:space="0" w:color="00B0F0"/>
              <w:left w:val="threeDEmboss" w:sz="24" w:space="0" w:color="002060"/>
              <w:bottom w:val="single" w:sz="4" w:space="0" w:color="FFFFFF" w:themeColor="background1"/>
              <w:right w:val="single" w:sz="4" w:space="0" w:color="FFFFFF"/>
            </w:tcBorders>
          </w:tcPr>
          <w:p w14:paraId="4CD43CDA"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threeDEmboss" w:sz="24" w:space="0" w:color="00B0F0"/>
              <w:left w:val="single" w:sz="4" w:space="0" w:color="FFFFFF"/>
              <w:bottom w:val="single" w:sz="4" w:space="0" w:color="FFFFFF" w:themeColor="background1"/>
              <w:right w:val="single" w:sz="4" w:space="0" w:color="FFFFFF"/>
            </w:tcBorders>
          </w:tcPr>
          <w:p w14:paraId="052F50D0" w14:textId="77777777" w:rsidR="003168F8" w:rsidRPr="00662CBC" w:rsidRDefault="003168F8" w:rsidP="006064D6">
            <w:r w:rsidRPr="00662CBC">
              <w:t>Poland</w:t>
            </w:r>
          </w:p>
        </w:tc>
        <w:tc>
          <w:tcPr>
            <w:tcW w:w="1111" w:type="dxa"/>
            <w:tcBorders>
              <w:top w:val="threeDEmboss" w:sz="24" w:space="0" w:color="00B0F0"/>
              <w:left w:val="single" w:sz="4" w:space="0" w:color="FFFFFF"/>
              <w:bottom w:val="single" w:sz="4" w:space="0" w:color="FFFFFF" w:themeColor="background1"/>
              <w:right w:val="single" w:sz="4" w:space="0" w:color="FFFFFF"/>
            </w:tcBorders>
            <w:shd w:val="clear" w:color="auto" w:fill="C00000"/>
          </w:tcPr>
          <w:p w14:paraId="033BF855" w14:textId="77777777" w:rsidR="003168F8" w:rsidRPr="00662CBC" w:rsidRDefault="003168F8" w:rsidP="006064D6">
            <w:pPr>
              <w:jc w:val="center"/>
              <w:rPr>
                <w:b/>
                <w:bCs/>
                <w:color w:val="FFFFFF" w:themeColor="background1"/>
              </w:rPr>
            </w:pPr>
          </w:p>
        </w:tc>
        <w:tc>
          <w:tcPr>
            <w:tcW w:w="1561" w:type="dxa"/>
            <w:tcBorders>
              <w:top w:val="threeDEmboss" w:sz="24" w:space="0" w:color="00B0F0"/>
              <w:left w:val="single" w:sz="4" w:space="0" w:color="FFFFFF"/>
              <w:bottom w:val="single" w:sz="4" w:space="0" w:color="FFFFFF" w:themeColor="background1"/>
              <w:right w:val="single" w:sz="4" w:space="0" w:color="FFFFFF"/>
            </w:tcBorders>
            <w:shd w:val="clear" w:color="auto" w:fill="098C44"/>
          </w:tcPr>
          <w:p w14:paraId="2EB29445" w14:textId="77777777" w:rsidR="003168F8" w:rsidRPr="00662CBC" w:rsidRDefault="003168F8" w:rsidP="006064D6">
            <w:pPr>
              <w:jc w:val="center"/>
              <w:rPr>
                <w:b/>
                <w:bCs/>
                <w:color w:val="FFFFFF" w:themeColor="background1"/>
              </w:rPr>
            </w:pPr>
            <w:r w:rsidRPr="00662CBC">
              <w:rPr>
                <w:b/>
                <w:bCs/>
                <w:color w:val="FFFFFF" w:themeColor="background1"/>
              </w:rPr>
              <w:t>L</w:t>
            </w:r>
          </w:p>
          <w:p w14:paraId="13EEE82C" w14:textId="77777777" w:rsidR="003168F8" w:rsidRPr="00662CBC" w:rsidRDefault="003168F8" w:rsidP="006064D6">
            <w:pPr>
              <w:jc w:val="center"/>
              <w:rPr>
                <w:b/>
                <w:bCs/>
                <w:color w:val="FFFFFF" w:themeColor="background1"/>
              </w:rPr>
            </w:pPr>
            <w:r w:rsidRPr="00662CBC">
              <w:rPr>
                <w:b/>
                <w:bCs/>
                <w:color w:val="FFFFFF" w:themeColor="background1"/>
              </w:rPr>
              <w:t>All except for upper house</w:t>
            </w:r>
          </w:p>
        </w:tc>
        <w:tc>
          <w:tcPr>
            <w:tcW w:w="1269" w:type="dxa"/>
            <w:tcBorders>
              <w:top w:val="threeDEmboss" w:sz="24" w:space="0" w:color="00B0F0"/>
              <w:left w:val="single" w:sz="4" w:space="0" w:color="FFFFFF"/>
              <w:bottom w:val="single" w:sz="4" w:space="0" w:color="FFFFFF" w:themeColor="background1"/>
              <w:right w:val="single" w:sz="4" w:space="0" w:color="FFFFFF"/>
            </w:tcBorders>
            <w:shd w:val="clear" w:color="auto" w:fill="F2FB93"/>
          </w:tcPr>
          <w:p w14:paraId="4F4DA6F1" w14:textId="77777777" w:rsidR="003168F8" w:rsidRPr="00662CBC" w:rsidRDefault="003168F8" w:rsidP="006064D6">
            <w:pPr>
              <w:jc w:val="center"/>
              <w:rPr>
                <w:b/>
                <w:bCs/>
                <w:color w:val="FFFFFF" w:themeColor="background1"/>
              </w:rPr>
            </w:pPr>
          </w:p>
        </w:tc>
        <w:tc>
          <w:tcPr>
            <w:tcW w:w="0" w:type="auto"/>
            <w:tcBorders>
              <w:top w:val="threeDEmboss" w:sz="24" w:space="0" w:color="00B0F0"/>
              <w:left w:val="single" w:sz="4" w:space="0" w:color="FFFFFF"/>
              <w:bottom w:val="single" w:sz="4" w:space="0" w:color="FFFFFF" w:themeColor="background1"/>
              <w:right w:val="single" w:sz="4" w:space="0" w:color="FFFFFF"/>
            </w:tcBorders>
            <w:shd w:val="clear" w:color="auto" w:fill="C00000"/>
          </w:tcPr>
          <w:p w14:paraId="710A45E9" w14:textId="77777777" w:rsidR="003168F8" w:rsidRPr="00662CBC" w:rsidRDefault="003168F8" w:rsidP="006064D6">
            <w:pPr>
              <w:jc w:val="center"/>
              <w:rPr>
                <w:b/>
                <w:bCs/>
                <w:color w:val="FFFFFF" w:themeColor="background1"/>
              </w:rPr>
            </w:pPr>
          </w:p>
        </w:tc>
        <w:tc>
          <w:tcPr>
            <w:tcW w:w="1275" w:type="dxa"/>
            <w:tcBorders>
              <w:top w:val="threeDEmboss" w:sz="24" w:space="0" w:color="00B0F0"/>
              <w:left w:val="single" w:sz="4" w:space="0" w:color="FFFFFF"/>
              <w:bottom w:val="single" w:sz="4" w:space="0" w:color="FFFFFF" w:themeColor="background1"/>
              <w:right w:val="single" w:sz="4" w:space="0" w:color="FFFFFF"/>
            </w:tcBorders>
            <w:shd w:val="clear" w:color="auto" w:fill="969696"/>
          </w:tcPr>
          <w:p w14:paraId="3228FE19" w14:textId="77777777" w:rsidR="003168F8" w:rsidRPr="00662CBC" w:rsidRDefault="003168F8" w:rsidP="006064D6">
            <w:pPr>
              <w:jc w:val="center"/>
              <w:rPr>
                <w:b/>
                <w:bCs/>
                <w:color w:val="FFFFFF" w:themeColor="background1"/>
              </w:rPr>
            </w:pPr>
          </w:p>
        </w:tc>
        <w:tc>
          <w:tcPr>
            <w:tcW w:w="1153" w:type="dxa"/>
            <w:tcBorders>
              <w:top w:val="threeDEmboss" w:sz="24" w:space="0" w:color="00B0F0"/>
              <w:left w:val="single" w:sz="4" w:space="0" w:color="FFFFFF"/>
              <w:bottom w:val="single" w:sz="4" w:space="0" w:color="FFFFFF" w:themeColor="background1"/>
              <w:right w:val="single" w:sz="4" w:space="0" w:color="FFFFFF"/>
            </w:tcBorders>
            <w:shd w:val="clear" w:color="auto" w:fill="C00000"/>
          </w:tcPr>
          <w:p w14:paraId="69A8C1B2" w14:textId="77777777" w:rsidR="003168F8" w:rsidRPr="00662CBC" w:rsidRDefault="003168F8" w:rsidP="006064D6">
            <w:pPr>
              <w:jc w:val="center"/>
              <w:rPr>
                <w:b/>
                <w:bCs/>
                <w:color w:val="FFFFFF" w:themeColor="background1"/>
              </w:rPr>
            </w:pPr>
          </w:p>
        </w:tc>
        <w:tc>
          <w:tcPr>
            <w:tcW w:w="927" w:type="dxa"/>
            <w:tcBorders>
              <w:top w:val="threeDEmboss" w:sz="24" w:space="0" w:color="00B0F0"/>
              <w:left w:val="single" w:sz="4" w:space="0" w:color="FFFFFF"/>
              <w:bottom w:val="single" w:sz="4" w:space="0" w:color="FFFFFF" w:themeColor="background1"/>
              <w:right w:val="single" w:sz="4" w:space="0" w:color="FFFFFF"/>
            </w:tcBorders>
            <w:shd w:val="clear" w:color="auto" w:fill="C00000"/>
          </w:tcPr>
          <w:p w14:paraId="0A1BC7D9" w14:textId="77777777" w:rsidR="003168F8" w:rsidRPr="00662CBC" w:rsidRDefault="003168F8" w:rsidP="006064D6">
            <w:pPr>
              <w:jc w:val="center"/>
              <w:rPr>
                <w:b/>
                <w:bCs/>
                <w:color w:val="FFFFFF" w:themeColor="background1"/>
              </w:rPr>
            </w:pPr>
          </w:p>
        </w:tc>
        <w:tc>
          <w:tcPr>
            <w:tcW w:w="1270" w:type="dxa"/>
            <w:tcBorders>
              <w:top w:val="threeDEmboss" w:sz="24" w:space="0" w:color="00B0F0"/>
              <w:left w:val="single" w:sz="4" w:space="0" w:color="FFFFFF"/>
              <w:bottom w:val="single" w:sz="4" w:space="0" w:color="FFFFFF" w:themeColor="background1"/>
              <w:right w:val="single" w:sz="4" w:space="0" w:color="FFFFFF"/>
            </w:tcBorders>
            <w:shd w:val="clear" w:color="auto" w:fill="098C44"/>
          </w:tcPr>
          <w:p w14:paraId="66CE7ECF" w14:textId="77777777" w:rsidR="003168F8" w:rsidRPr="00662CBC" w:rsidRDefault="003168F8" w:rsidP="006064D6">
            <w:pPr>
              <w:jc w:val="center"/>
              <w:rPr>
                <w:b/>
                <w:bCs/>
                <w:color w:val="FFFFFF" w:themeColor="background1"/>
              </w:rPr>
            </w:pPr>
          </w:p>
        </w:tc>
        <w:tc>
          <w:tcPr>
            <w:tcW w:w="1795" w:type="dxa"/>
            <w:tcBorders>
              <w:top w:val="threeDEmboss" w:sz="24" w:space="0" w:color="00B0F0"/>
              <w:left w:val="single" w:sz="4" w:space="0" w:color="FFFFFF"/>
              <w:bottom w:val="single" w:sz="4" w:space="0" w:color="FFFFFF" w:themeColor="background1"/>
              <w:right w:val="single" w:sz="4" w:space="0" w:color="FFFFFF"/>
            </w:tcBorders>
            <w:shd w:val="clear" w:color="auto" w:fill="969696" w:themeFill="accent3"/>
          </w:tcPr>
          <w:p w14:paraId="1AE3C722" w14:textId="77777777" w:rsidR="003168F8" w:rsidRPr="00662CBC" w:rsidRDefault="003168F8" w:rsidP="006064D6">
            <w:pPr>
              <w:jc w:val="center"/>
              <w:rPr>
                <w:b/>
                <w:bCs/>
                <w:color w:val="FFFFFF" w:themeColor="background1"/>
              </w:rPr>
            </w:pPr>
          </w:p>
        </w:tc>
        <w:tc>
          <w:tcPr>
            <w:tcW w:w="1495" w:type="dxa"/>
            <w:tcBorders>
              <w:top w:val="threeDEmboss" w:sz="24" w:space="0" w:color="00B0F0"/>
              <w:left w:val="single" w:sz="4" w:space="0" w:color="FFFFFF"/>
              <w:bottom w:val="single" w:sz="4" w:space="0" w:color="FFFFFF" w:themeColor="background1"/>
              <w:right w:val="threeDEmboss" w:sz="24" w:space="0" w:color="002060"/>
            </w:tcBorders>
            <w:shd w:val="clear" w:color="auto" w:fill="098C44"/>
          </w:tcPr>
          <w:p w14:paraId="2F5B2776" w14:textId="77777777" w:rsidR="003168F8" w:rsidRPr="00662CBC" w:rsidRDefault="003168F8" w:rsidP="006064D6">
            <w:pPr>
              <w:jc w:val="center"/>
              <w:rPr>
                <w:b/>
                <w:bCs/>
                <w:color w:val="FFFFFF" w:themeColor="background1"/>
              </w:rPr>
            </w:pPr>
            <w:r w:rsidRPr="00662CBC">
              <w:rPr>
                <w:b/>
                <w:bCs/>
                <w:color w:val="FFFFFF" w:themeColor="background1"/>
              </w:rPr>
              <w:t>L</w:t>
            </w:r>
          </w:p>
        </w:tc>
      </w:tr>
      <w:tr w:rsidR="003168F8" w:rsidRPr="00662CBC" w14:paraId="7AB0E8CE" w14:textId="77777777" w:rsidTr="00751F00">
        <w:tc>
          <w:tcPr>
            <w:tcW w:w="426" w:type="dxa"/>
            <w:tcBorders>
              <w:top w:val="single" w:sz="4" w:space="0" w:color="FFFFFF" w:themeColor="background1"/>
              <w:left w:val="threeDEmboss" w:sz="24" w:space="0" w:color="002060"/>
              <w:bottom w:val="single" w:sz="4" w:space="0" w:color="FFFFFF" w:themeColor="background1"/>
              <w:right w:val="single" w:sz="4" w:space="0" w:color="FFFFFF"/>
            </w:tcBorders>
          </w:tcPr>
          <w:p w14:paraId="116FD10F"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single" w:sz="4" w:space="0" w:color="FFFFFF" w:themeColor="background1"/>
              <w:left w:val="single" w:sz="4" w:space="0" w:color="FFFFFF"/>
              <w:bottom w:val="single" w:sz="4" w:space="0" w:color="FFFFFF" w:themeColor="background1"/>
              <w:right w:val="single" w:sz="4" w:space="0" w:color="FFFFFF"/>
            </w:tcBorders>
          </w:tcPr>
          <w:p w14:paraId="09B3DAC2" w14:textId="77777777" w:rsidR="003168F8" w:rsidRPr="00662CBC" w:rsidRDefault="003168F8" w:rsidP="006064D6">
            <w:r w:rsidRPr="00662CBC">
              <w:t xml:space="preserve">Portugal </w:t>
            </w:r>
          </w:p>
        </w:tc>
        <w:tc>
          <w:tcPr>
            <w:tcW w:w="1111"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C00000"/>
          </w:tcPr>
          <w:p w14:paraId="53DC01B1" w14:textId="77777777" w:rsidR="003168F8" w:rsidRPr="00662CBC" w:rsidRDefault="003168F8" w:rsidP="006064D6">
            <w:pPr>
              <w:jc w:val="center"/>
              <w:rPr>
                <w:b/>
                <w:bCs/>
                <w:color w:val="FFFFFF" w:themeColor="background1"/>
              </w:rPr>
            </w:pPr>
          </w:p>
        </w:tc>
        <w:tc>
          <w:tcPr>
            <w:tcW w:w="1561"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098C44"/>
          </w:tcPr>
          <w:p w14:paraId="3A39CC80" w14:textId="77777777" w:rsidR="003168F8" w:rsidRPr="00662CBC" w:rsidRDefault="003168F8" w:rsidP="006064D6">
            <w:pPr>
              <w:jc w:val="center"/>
              <w:rPr>
                <w:b/>
                <w:bCs/>
                <w:color w:val="FFFFFF" w:themeColor="background1"/>
              </w:rPr>
            </w:pPr>
            <w:r w:rsidRPr="00662CBC">
              <w:rPr>
                <w:b/>
                <w:bCs/>
                <w:color w:val="FFFFFF" w:themeColor="background1"/>
              </w:rPr>
              <w:t>L</w:t>
            </w:r>
          </w:p>
          <w:p w14:paraId="5667253D" w14:textId="77777777" w:rsidR="003168F8" w:rsidRPr="00662CBC" w:rsidRDefault="003168F8" w:rsidP="006064D6">
            <w:pPr>
              <w:jc w:val="center"/>
              <w:rPr>
                <w:b/>
                <w:bCs/>
                <w:color w:val="FFFFFF" w:themeColor="background1"/>
              </w:rPr>
            </w:pPr>
            <w:r w:rsidRPr="00662CBC">
              <w:rPr>
                <w:b/>
                <w:bCs/>
                <w:color w:val="FFFFFF" w:themeColor="background1"/>
              </w:rPr>
              <w:t>Bad implementation in the regions Madeira and the Azores</w:t>
            </w:r>
          </w:p>
        </w:tc>
        <w:tc>
          <w:tcPr>
            <w:tcW w:w="1269"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F2FB93"/>
          </w:tcPr>
          <w:p w14:paraId="4E0C6DBA" w14:textId="77777777" w:rsidR="003168F8" w:rsidRPr="00662CBC" w:rsidRDefault="003168F8" w:rsidP="006064D6">
            <w:pPr>
              <w:jc w:val="center"/>
              <w:rPr>
                <w:b/>
                <w:bCs/>
                <w:color w:val="FFFFFF" w:themeColor="background1"/>
              </w:rPr>
            </w:pPr>
          </w:p>
        </w:tc>
        <w:tc>
          <w:tcPr>
            <w:tcW w:w="0" w:type="auto"/>
            <w:tcBorders>
              <w:top w:val="single" w:sz="4" w:space="0" w:color="FFFFFF" w:themeColor="background1"/>
              <w:left w:val="single" w:sz="4" w:space="0" w:color="FFFFFF"/>
              <w:bottom w:val="single" w:sz="4" w:space="0" w:color="FFFFFF" w:themeColor="background1"/>
              <w:right w:val="single" w:sz="4" w:space="0" w:color="FFFFFF"/>
            </w:tcBorders>
            <w:shd w:val="clear" w:color="auto" w:fill="098C44"/>
          </w:tcPr>
          <w:p w14:paraId="4DDA46DF" w14:textId="77777777" w:rsidR="003168F8" w:rsidRPr="00662CBC" w:rsidRDefault="003168F8" w:rsidP="006064D6">
            <w:pPr>
              <w:jc w:val="center"/>
              <w:rPr>
                <w:b/>
                <w:bCs/>
                <w:color w:val="FFFFFF" w:themeColor="background1"/>
              </w:rPr>
            </w:pPr>
          </w:p>
        </w:tc>
        <w:tc>
          <w:tcPr>
            <w:tcW w:w="1275"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098C44"/>
          </w:tcPr>
          <w:p w14:paraId="49DDABBB" w14:textId="77777777" w:rsidR="003168F8" w:rsidRPr="00662CBC" w:rsidRDefault="003168F8" w:rsidP="006064D6">
            <w:pPr>
              <w:jc w:val="center"/>
              <w:rPr>
                <w:b/>
                <w:bCs/>
                <w:color w:val="FFFFFF" w:themeColor="background1"/>
              </w:rPr>
            </w:pPr>
            <w:r w:rsidRPr="00662CBC">
              <w:rPr>
                <w:b/>
                <w:bCs/>
                <w:color w:val="FFFFFF" w:themeColor="background1"/>
              </w:rPr>
              <w:t>L</w:t>
            </w:r>
          </w:p>
        </w:tc>
        <w:tc>
          <w:tcPr>
            <w:tcW w:w="1153"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C00000"/>
          </w:tcPr>
          <w:p w14:paraId="58121327" w14:textId="77777777" w:rsidR="003168F8" w:rsidRPr="00662CBC" w:rsidRDefault="003168F8" w:rsidP="006064D6">
            <w:pPr>
              <w:jc w:val="center"/>
              <w:rPr>
                <w:b/>
                <w:bCs/>
                <w:color w:val="FFFFFF" w:themeColor="background1"/>
              </w:rPr>
            </w:pPr>
          </w:p>
        </w:tc>
        <w:tc>
          <w:tcPr>
            <w:tcW w:w="92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C00000"/>
          </w:tcPr>
          <w:p w14:paraId="4875A06D" w14:textId="77777777" w:rsidR="003168F8" w:rsidRPr="00662CBC" w:rsidRDefault="003168F8" w:rsidP="006064D6">
            <w:pPr>
              <w:jc w:val="center"/>
              <w:rPr>
                <w:b/>
                <w:bCs/>
                <w:color w:val="FFFFFF" w:themeColor="background1"/>
              </w:rPr>
            </w:pPr>
          </w:p>
        </w:tc>
        <w:tc>
          <w:tcPr>
            <w:tcW w:w="1270"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098C44"/>
          </w:tcPr>
          <w:p w14:paraId="63984698" w14:textId="77777777" w:rsidR="003168F8" w:rsidRPr="00662CBC" w:rsidRDefault="003168F8" w:rsidP="006064D6">
            <w:pPr>
              <w:jc w:val="center"/>
              <w:rPr>
                <w:b/>
                <w:bCs/>
                <w:color w:val="FFFFFF" w:themeColor="background1"/>
              </w:rPr>
            </w:pPr>
          </w:p>
        </w:tc>
        <w:tc>
          <w:tcPr>
            <w:tcW w:w="1795"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098C44"/>
          </w:tcPr>
          <w:p w14:paraId="63D91C9E" w14:textId="77777777" w:rsidR="003168F8" w:rsidRPr="00662CBC" w:rsidRDefault="003168F8" w:rsidP="006064D6">
            <w:pPr>
              <w:jc w:val="center"/>
              <w:rPr>
                <w:b/>
                <w:bCs/>
                <w:color w:val="FFFFFF" w:themeColor="background1"/>
              </w:rPr>
            </w:pPr>
            <w:r w:rsidRPr="00662CBC">
              <w:rPr>
                <w:b/>
                <w:bCs/>
                <w:color w:val="FFFFFF" w:themeColor="background1"/>
              </w:rPr>
              <w:t>L</w:t>
            </w:r>
          </w:p>
          <w:p w14:paraId="1B2BCCB7" w14:textId="77777777" w:rsidR="003168F8" w:rsidRPr="00662CBC" w:rsidRDefault="003168F8" w:rsidP="006064D6">
            <w:pPr>
              <w:jc w:val="center"/>
              <w:rPr>
                <w:b/>
                <w:bCs/>
                <w:color w:val="FFFFFF" w:themeColor="background1"/>
              </w:rPr>
            </w:pPr>
            <w:r w:rsidRPr="00662CBC">
              <w:rPr>
                <w:b/>
                <w:bCs/>
                <w:color w:val="FFFFFF" w:themeColor="background1"/>
              </w:rPr>
              <w:t>Public administration</w:t>
            </w:r>
          </w:p>
          <w:p w14:paraId="7A5950DC" w14:textId="77777777" w:rsidR="003168F8" w:rsidRPr="00662CBC" w:rsidRDefault="003168F8" w:rsidP="006064D6">
            <w:pPr>
              <w:jc w:val="center"/>
              <w:rPr>
                <w:b/>
                <w:bCs/>
                <w:color w:val="FFFFFF" w:themeColor="background1"/>
              </w:rPr>
            </w:pPr>
            <w:r w:rsidRPr="00662CBC">
              <w:rPr>
                <w:b/>
                <w:bCs/>
                <w:color w:val="FFFFFF" w:themeColor="background1"/>
              </w:rPr>
              <w:t>Public associations</w:t>
            </w:r>
          </w:p>
        </w:tc>
        <w:tc>
          <w:tcPr>
            <w:tcW w:w="1495" w:type="dxa"/>
            <w:tcBorders>
              <w:top w:val="single" w:sz="4" w:space="0" w:color="FFFFFF" w:themeColor="background1"/>
              <w:left w:val="single" w:sz="4" w:space="0" w:color="FFFFFF"/>
              <w:bottom w:val="single" w:sz="4" w:space="0" w:color="FFFFFF" w:themeColor="background1"/>
              <w:right w:val="threeDEmboss" w:sz="24" w:space="0" w:color="002060"/>
            </w:tcBorders>
            <w:shd w:val="clear" w:color="auto" w:fill="098C44"/>
          </w:tcPr>
          <w:p w14:paraId="4F7FF398" w14:textId="77777777" w:rsidR="003168F8" w:rsidRPr="00662CBC" w:rsidRDefault="003168F8" w:rsidP="006064D6">
            <w:pPr>
              <w:jc w:val="center"/>
              <w:rPr>
                <w:b/>
                <w:bCs/>
                <w:color w:val="FFFFFF" w:themeColor="background1"/>
              </w:rPr>
            </w:pPr>
            <w:r w:rsidRPr="00662CBC">
              <w:rPr>
                <w:b/>
                <w:bCs/>
                <w:color w:val="FFFFFF" w:themeColor="background1"/>
              </w:rPr>
              <w:t>L</w:t>
            </w:r>
          </w:p>
        </w:tc>
      </w:tr>
      <w:tr w:rsidR="003168F8" w:rsidRPr="00662CBC" w14:paraId="4A97EE54" w14:textId="77777777" w:rsidTr="002811DD">
        <w:tc>
          <w:tcPr>
            <w:tcW w:w="426" w:type="dxa"/>
            <w:tcBorders>
              <w:top w:val="single" w:sz="4" w:space="0" w:color="FFFFFF" w:themeColor="background1"/>
              <w:left w:val="threeDEmboss" w:sz="24" w:space="0" w:color="002060"/>
              <w:bottom w:val="threeDEmboss" w:sz="24" w:space="0" w:color="002060"/>
              <w:right w:val="single" w:sz="4" w:space="0" w:color="FFFFFF"/>
            </w:tcBorders>
          </w:tcPr>
          <w:p w14:paraId="6FE017D3"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single" w:sz="4" w:space="0" w:color="FFFFFF" w:themeColor="background1"/>
              <w:left w:val="single" w:sz="4" w:space="0" w:color="FFFFFF"/>
              <w:bottom w:val="threeDEmboss" w:sz="24" w:space="0" w:color="002060"/>
              <w:right w:val="single" w:sz="4" w:space="0" w:color="FFFFFF"/>
            </w:tcBorders>
          </w:tcPr>
          <w:p w14:paraId="02FEF690" w14:textId="77777777" w:rsidR="003168F8" w:rsidRPr="00662CBC" w:rsidRDefault="003168F8" w:rsidP="006064D6">
            <w:r w:rsidRPr="00662CBC">
              <w:t>Romania</w:t>
            </w:r>
          </w:p>
        </w:tc>
        <w:tc>
          <w:tcPr>
            <w:tcW w:w="1111" w:type="dxa"/>
            <w:tcBorders>
              <w:top w:val="single" w:sz="4" w:space="0" w:color="FFFFFF" w:themeColor="background1"/>
              <w:left w:val="single" w:sz="4" w:space="0" w:color="FFFFFF"/>
              <w:bottom w:val="threeDEmboss" w:sz="24" w:space="0" w:color="002060"/>
              <w:right w:val="single" w:sz="4" w:space="0" w:color="FFFFFF"/>
            </w:tcBorders>
            <w:shd w:val="clear" w:color="auto" w:fill="C00000"/>
          </w:tcPr>
          <w:p w14:paraId="0A459E00" w14:textId="77777777" w:rsidR="003168F8" w:rsidRPr="00662CBC" w:rsidRDefault="003168F8" w:rsidP="006064D6">
            <w:pPr>
              <w:jc w:val="center"/>
              <w:rPr>
                <w:b/>
                <w:bCs/>
                <w:color w:val="FFFFFF" w:themeColor="background1"/>
              </w:rPr>
            </w:pPr>
          </w:p>
        </w:tc>
        <w:tc>
          <w:tcPr>
            <w:tcW w:w="1561" w:type="dxa"/>
            <w:tcBorders>
              <w:top w:val="single" w:sz="4" w:space="0" w:color="FFFFFF" w:themeColor="background1"/>
              <w:left w:val="single" w:sz="4" w:space="0" w:color="FFFFFF"/>
              <w:bottom w:val="threeDEmboss" w:sz="24" w:space="0" w:color="002060"/>
              <w:right w:val="single" w:sz="4" w:space="0" w:color="FFFFFF"/>
            </w:tcBorders>
            <w:shd w:val="clear" w:color="auto" w:fill="098C44"/>
          </w:tcPr>
          <w:p w14:paraId="2BCB1582" w14:textId="77777777" w:rsidR="003168F8" w:rsidRPr="00662CBC" w:rsidRDefault="003168F8" w:rsidP="006064D6">
            <w:pPr>
              <w:jc w:val="center"/>
              <w:rPr>
                <w:b/>
                <w:bCs/>
                <w:color w:val="FFFFFF" w:themeColor="background1"/>
              </w:rPr>
            </w:pPr>
            <w:r w:rsidRPr="00662CBC">
              <w:rPr>
                <w:b/>
                <w:bCs/>
                <w:color w:val="FFFFFF" w:themeColor="background1"/>
              </w:rPr>
              <w:t>L</w:t>
            </w:r>
          </w:p>
        </w:tc>
        <w:tc>
          <w:tcPr>
            <w:tcW w:w="1269" w:type="dxa"/>
            <w:tcBorders>
              <w:top w:val="single" w:sz="4" w:space="0" w:color="FFFFFF" w:themeColor="background1"/>
              <w:left w:val="single" w:sz="4" w:space="0" w:color="FFFFFF"/>
              <w:bottom w:val="threeDEmboss" w:sz="24" w:space="0" w:color="002060"/>
              <w:right w:val="single" w:sz="4" w:space="0" w:color="FFFFFF"/>
            </w:tcBorders>
            <w:shd w:val="clear" w:color="auto" w:fill="F2FB93"/>
          </w:tcPr>
          <w:p w14:paraId="2904ECD7" w14:textId="77777777" w:rsidR="003168F8" w:rsidRPr="00662CBC" w:rsidRDefault="003168F8" w:rsidP="006064D6">
            <w:pPr>
              <w:jc w:val="center"/>
              <w:rPr>
                <w:b/>
                <w:bCs/>
                <w:color w:val="FFFFFF" w:themeColor="background1"/>
              </w:rPr>
            </w:pPr>
          </w:p>
        </w:tc>
        <w:tc>
          <w:tcPr>
            <w:tcW w:w="0" w:type="auto"/>
            <w:tcBorders>
              <w:top w:val="single" w:sz="4" w:space="0" w:color="FFFFFF" w:themeColor="background1"/>
              <w:left w:val="single" w:sz="4" w:space="0" w:color="FFFFFF"/>
              <w:bottom w:val="threeDEmboss" w:sz="24" w:space="0" w:color="002060"/>
              <w:right w:val="single" w:sz="4" w:space="0" w:color="FFFFFF"/>
            </w:tcBorders>
            <w:shd w:val="clear" w:color="auto" w:fill="C00000"/>
          </w:tcPr>
          <w:p w14:paraId="3CFECFC8" w14:textId="77777777" w:rsidR="003168F8" w:rsidRPr="00662CBC" w:rsidRDefault="003168F8" w:rsidP="006064D6">
            <w:pPr>
              <w:jc w:val="center"/>
              <w:rPr>
                <w:b/>
                <w:bCs/>
                <w:color w:val="FFFFFF" w:themeColor="background1"/>
              </w:rPr>
            </w:pPr>
          </w:p>
        </w:tc>
        <w:tc>
          <w:tcPr>
            <w:tcW w:w="1275" w:type="dxa"/>
            <w:tcBorders>
              <w:top w:val="single" w:sz="4" w:space="0" w:color="FFFFFF" w:themeColor="background1"/>
              <w:left w:val="single" w:sz="4" w:space="0" w:color="FFFFFF"/>
              <w:bottom w:val="threeDEmboss" w:sz="24" w:space="0" w:color="002060"/>
              <w:right w:val="single" w:sz="4" w:space="0" w:color="FFFFFF"/>
            </w:tcBorders>
            <w:shd w:val="clear" w:color="auto" w:fill="C00000"/>
          </w:tcPr>
          <w:p w14:paraId="1675FB6C" w14:textId="77777777" w:rsidR="003168F8" w:rsidRPr="00662CBC" w:rsidRDefault="003168F8" w:rsidP="006064D6">
            <w:pPr>
              <w:jc w:val="center"/>
              <w:rPr>
                <w:b/>
                <w:bCs/>
                <w:color w:val="FFFFFF" w:themeColor="background1"/>
              </w:rPr>
            </w:pPr>
          </w:p>
        </w:tc>
        <w:tc>
          <w:tcPr>
            <w:tcW w:w="1153" w:type="dxa"/>
            <w:tcBorders>
              <w:top w:val="single" w:sz="4" w:space="0" w:color="FFFFFF" w:themeColor="background1"/>
              <w:left w:val="single" w:sz="4" w:space="0" w:color="FFFFFF"/>
              <w:bottom w:val="threeDEmboss" w:sz="24" w:space="0" w:color="002060"/>
              <w:right w:val="single" w:sz="4" w:space="0" w:color="FFFFFF"/>
            </w:tcBorders>
            <w:shd w:val="clear" w:color="auto" w:fill="C00000"/>
          </w:tcPr>
          <w:p w14:paraId="473B0C3E" w14:textId="77777777" w:rsidR="003168F8" w:rsidRPr="00662CBC" w:rsidRDefault="003168F8" w:rsidP="006064D6">
            <w:pPr>
              <w:jc w:val="center"/>
              <w:rPr>
                <w:b/>
                <w:bCs/>
                <w:color w:val="FFFFFF" w:themeColor="background1"/>
              </w:rPr>
            </w:pPr>
          </w:p>
        </w:tc>
        <w:tc>
          <w:tcPr>
            <w:tcW w:w="927" w:type="dxa"/>
            <w:tcBorders>
              <w:top w:val="single" w:sz="4" w:space="0" w:color="FFFFFF" w:themeColor="background1"/>
              <w:left w:val="single" w:sz="4" w:space="0" w:color="FFFFFF"/>
              <w:bottom w:val="threeDEmboss" w:sz="24" w:space="0" w:color="002060"/>
              <w:right w:val="single" w:sz="4" w:space="0" w:color="FFFFFF"/>
            </w:tcBorders>
            <w:shd w:val="clear" w:color="auto" w:fill="C00000"/>
          </w:tcPr>
          <w:p w14:paraId="3F516E3B" w14:textId="77777777" w:rsidR="003168F8" w:rsidRPr="00662CBC" w:rsidRDefault="003168F8" w:rsidP="006064D6">
            <w:pPr>
              <w:jc w:val="center"/>
              <w:rPr>
                <w:b/>
                <w:bCs/>
                <w:color w:val="FFFFFF" w:themeColor="background1"/>
              </w:rPr>
            </w:pPr>
          </w:p>
        </w:tc>
        <w:tc>
          <w:tcPr>
            <w:tcW w:w="1270" w:type="dxa"/>
            <w:tcBorders>
              <w:top w:val="single" w:sz="4" w:space="0" w:color="FFFFFF" w:themeColor="background1"/>
              <w:left w:val="single" w:sz="4" w:space="0" w:color="FFFFFF"/>
              <w:bottom w:val="threeDEmboss" w:sz="24" w:space="0" w:color="002060"/>
              <w:right w:val="single" w:sz="4" w:space="0" w:color="FFFFFF"/>
            </w:tcBorders>
            <w:shd w:val="clear" w:color="auto" w:fill="098C44"/>
          </w:tcPr>
          <w:p w14:paraId="31FEA0C1" w14:textId="77777777" w:rsidR="003168F8" w:rsidRPr="00662CBC" w:rsidRDefault="003168F8" w:rsidP="006064D6">
            <w:pPr>
              <w:jc w:val="center"/>
              <w:rPr>
                <w:b/>
                <w:bCs/>
                <w:color w:val="FFFFFF" w:themeColor="background1"/>
              </w:rPr>
            </w:pPr>
          </w:p>
        </w:tc>
        <w:tc>
          <w:tcPr>
            <w:tcW w:w="1795" w:type="dxa"/>
            <w:tcBorders>
              <w:top w:val="single" w:sz="4" w:space="0" w:color="FFFFFF" w:themeColor="background1"/>
              <w:left w:val="single" w:sz="4" w:space="0" w:color="FFFFFF"/>
              <w:bottom w:val="threeDEmboss" w:sz="24" w:space="0" w:color="002060"/>
              <w:right w:val="single" w:sz="4" w:space="0" w:color="FFFFFF"/>
            </w:tcBorders>
            <w:shd w:val="clear" w:color="auto" w:fill="969696" w:themeFill="accent3"/>
          </w:tcPr>
          <w:p w14:paraId="1069E55B" w14:textId="77777777" w:rsidR="003168F8" w:rsidRPr="00662CBC" w:rsidRDefault="003168F8" w:rsidP="006064D6">
            <w:pPr>
              <w:jc w:val="center"/>
              <w:rPr>
                <w:b/>
                <w:bCs/>
                <w:color w:val="FFFFFF" w:themeColor="background1"/>
              </w:rPr>
            </w:pPr>
          </w:p>
        </w:tc>
        <w:tc>
          <w:tcPr>
            <w:tcW w:w="1495" w:type="dxa"/>
            <w:tcBorders>
              <w:top w:val="single" w:sz="4" w:space="0" w:color="FFFFFF" w:themeColor="background1"/>
              <w:left w:val="single" w:sz="4" w:space="0" w:color="FFFFFF"/>
              <w:bottom w:val="threeDEmboss" w:sz="24" w:space="0" w:color="002060"/>
              <w:right w:val="threeDEmboss" w:sz="24" w:space="0" w:color="002060"/>
            </w:tcBorders>
            <w:shd w:val="clear" w:color="auto" w:fill="098C44"/>
          </w:tcPr>
          <w:p w14:paraId="49909459" w14:textId="77777777" w:rsidR="003168F8" w:rsidRPr="00662CBC" w:rsidRDefault="003168F8" w:rsidP="006064D6">
            <w:pPr>
              <w:jc w:val="center"/>
              <w:rPr>
                <w:b/>
                <w:bCs/>
                <w:color w:val="FFFFFF" w:themeColor="background1"/>
              </w:rPr>
            </w:pPr>
            <w:r w:rsidRPr="00662CBC">
              <w:rPr>
                <w:b/>
                <w:bCs/>
                <w:color w:val="FFFFFF" w:themeColor="background1"/>
              </w:rPr>
              <w:t>L</w:t>
            </w:r>
          </w:p>
        </w:tc>
      </w:tr>
      <w:tr w:rsidR="003168F8" w:rsidRPr="00662CBC" w14:paraId="4FF802F0" w14:textId="77777777" w:rsidTr="002811DD">
        <w:tc>
          <w:tcPr>
            <w:tcW w:w="426" w:type="dxa"/>
            <w:tcBorders>
              <w:top w:val="threeDEmboss" w:sz="24" w:space="0" w:color="002060"/>
              <w:left w:val="single" w:sz="4" w:space="0" w:color="FFFFFF" w:themeColor="background1"/>
              <w:bottom w:val="single" w:sz="4" w:space="0" w:color="FFFFFF"/>
              <w:right w:val="single" w:sz="4" w:space="0" w:color="FFFFFF"/>
            </w:tcBorders>
          </w:tcPr>
          <w:p w14:paraId="419ED7BE"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threeDEmboss" w:sz="24" w:space="0" w:color="002060"/>
              <w:left w:val="single" w:sz="4" w:space="0" w:color="FFFFFF"/>
              <w:bottom w:val="single" w:sz="4" w:space="0" w:color="FFFFFF"/>
              <w:right w:val="single" w:sz="4" w:space="0" w:color="FFFFFF"/>
            </w:tcBorders>
          </w:tcPr>
          <w:p w14:paraId="05C77BF4" w14:textId="77777777" w:rsidR="003168F8" w:rsidRPr="00662CBC" w:rsidRDefault="003168F8" w:rsidP="006064D6">
            <w:r w:rsidRPr="00662CBC">
              <w:t xml:space="preserve">Russian Federation </w:t>
            </w:r>
          </w:p>
        </w:tc>
        <w:tc>
          <w:tcPr>
            <w:tcW w:w="1111" w:type="dxa"/>
            <w:tcBorders>
              <w:top w:val="threeDEmboss" w:sz="24" w:space="0" w:color="002060"/>
              <w:left w:val="single" w:sz="4" w:space="0" w:color="FFFFFF"/>
              <w:bottom w:val="single" w:sz="4" w:space="0" w:color="FFFFFF"/>
              <w:right w:val="single" w:sz="4" w:space="0" w:color="FFFFFF"/>
            </w:tcBorders>
            <w:shd w:val="clear" w:color="auto" w:fill="C00000"/>
          </w:tcPr>
          <w:p w14:paraId="50EAF0A5" w14:textId="77777777" w:rsidR="003168F8" w:rsidRPr="00662CBC" w:rsidRDefault="003168F8" w:rsidP="006064D6">
            <w:pPr>
              <w:jc w:val="center"/>
              <w:rPr>
                <w:b/>
                <w:bCs/>
                <w:color w:val="FFFFFF" w:themeColor="background1"/>
              </w:rPr>
            </w:pPr>
          </w:p>
        </w:tc>
        <w:tc>
          <w:tcPr>
            <w:tcW w:w="1561" w:type="dxa"/>
            <w:tcBorders>
              <w:top w:val="threeDEmboss" w:sz="24" w:space="0" w:color="002060"/>
              <w:left w:val="single" w:sz="4" w:space="0" w:color="FFFFFF"/>
              <w:bottom w:val="single" w:sz="4" w:space="0" w:color="FFFFFF"/>
              <w:right w:val="single" w:sz="4" w:space="0" w:color="FFFFFF"/>
            </w:tcBorders>
            <w:shd w:val="clear" w:color="auto" w:fill="C00000"/>
          </w:tcPr>
          <w:p w14:paraId="601EBBD6" w14:textId="77777777" w:rsidR="003168F8" w:rsidRPr="00662CBC" w:rsidRDefault="003168F8" w:rsidP="006064D6">
            <w:pPr>
              <w:jc w:val="center"/>
              <w:rPr>
                <w:b/>
                <w:bCs/>
                <w:color w:val="FFFFFF" w:themeColor="background1"/>
              </w:rPr>
            </w:pPr>
          </w:p>
        </w:tc>
        <w:tc>
          <w:tcPr>
            <w:tcW w:w="1269" w:type="dxa"/>
            <w:tcBorders>
              <w:top w:val="threeDEmboss" w:sz="24" w:space="0" w:color="002060"/>
              <w:left w:val="single" w:sz="4" w:space="0" w:color="FFFFFF"/>
              <w:bottom w:val="single" w:sz="4" w:space="0" w:color="FFFFFF"/>
              <w:right w:val="single" w:sz="4" w:space="0" w:color="FFFFFF"/>
            </w:tcBorders>
            <w:shd w:val="clear" w:color="auto" w:fill="969696" w:themeFill="accent3"/>
          </w:tcPr>
          <w:p w14:paraId="1618EF0A" w14:textId="77777777" w:rsidR="003168F8" w:rsidRPr="00662CBC" w:rsidRDefault="003168F8" w:rsidP="006064D6">
            <w:pPr>
              <w:jc w:val="center"/>
              <w:rPr>
                <w:b/>
                <w:bCs/>
                <w:color w:val="FFFFFF" w:themeColor="background1"/>
              </w:rPr>
            </w:pPr>
          </w:p>
        </w:tc>
        <w:tc>
          <w:tcPr>
            <w:tcW w:w="0" w:type="auto"/>
            <w:tcBorders>
              <w:top w:val="threeDEmboss" w:sz="24" w:space="0" w:color="002060"/>
              <w:left w:val="single" w:sz="4" w:space="0" w:color="FFFFFF"/>
              <w:bottom w:val="single" w:sz="4" w:space="0" w:color="FFFFFF"/>
              <w:right w:val="single" w:sz="4" w:space="0" w:color="FFFFFF"/>
            </w:tcBorders>
            <w:shd w:val="clear" w:color="auto" w:fill="C00000"/>
          </w:tcPr>
          <w:p w14:paraId="5597147E" w14:textId="77777777" w:rsidR="003168F8" w:rsidRPr="00662CBC" w:rsidRDefault="003168F8" w:rsidP="006064D6">
            <w:pPr>
              <w:jc w:val="center"/>
              <w:rPr>
                <w:b/>
                <w:bCs/>
                <w:color w:val="FFFFFF" w:themeColor="background1"/>
              </w:rPr>
            </w:pPr>
          </w:p>
        </w:tc>
        <w:tc>
          <w:tcPr>
            <w:tcW w:w="1275" w:type="dxa"/>
            <w:tcBorders>
              <w:top w:val="threeDEmboss" w:sz="24" w:space="0" w:color="002060"/>
              <w:left w:val="single" w:sz="4" w:space="0" w:color="FFFFFF"/>
              <w:bottom w:val="single" w:sz="4" w:space="0" w:color="FFFFFF"/>
              <w:right w:val="single" w:sz="4" w:space="0" w:color="FFFFFF"/>
            </w:tcBorders>
            <w:shd w:val="clear" w:color="auto" w:fill="969696" w:themeFill="accent3"/>
          </w:tcPr>
          <w:p w14:paraId="1FFA1904" w14:textId="77777777" w:rsidR="003168F8" w:rsidRPr="00662CBC" w:rsidRDefault="003168F8" w:rsidP="006064D6">
            <w:pPr>
              <w:jc w:val="center"/>
              <w:rPr>
                <w:b/>
                <w:bCs/>
                <w:color w:val="FFFFFF" w:themeColor="background1"/>
              </w:rPr>
            </w:pPr>
          </w:p>
        </w:tc>
        <w:tc>
          <w:tcPr>
            <w:tcW w:w="1153" w:type="dxa"/>
            <w:tcBorders>
              <w:top w:val="threeDEmboss" w:sz="24" w:space="0" w:color="002060"/>
              <w:left w:val="single" w:sz="4" w:space="0" w:color="FFFFFF"/>
              <w:bottom w:val="single" w:sz="4" w:space="0" w:color="FFFFFF"/>
              <w:right w:val="single" w:sz="4" w:space="0" w:color="FFFFFF"/>
            </w:tcBorders>
            <w:shd w:val="clear" w:color="auto" w:fill="C00000"/>
          </w:tcPr>
          <w:p w14:paraId="589E6FDD" w14:textId="77777777" w:rsidR="003168F8" w:rsidRPr="00662CBC" w:rsidRDefault="003168F8" w:rsidP="006064D6">
            <w:pPr>
              <w:jc w:val="center"/>
              <w:rPr>
                <w:b/>
                <w:bCs/>
                <w:color w:val="FFFFFF" w:themeColor="background1"/>
              </w:rPr>
            </w:pPr>
          </w:p>
        </w:tc>
        <w:tc>
          <w:tcPr>
            <w:tcW w:w="927" w:type="dxa"/>
            <w:tcBorders>
              <w:top w:val="threeDEmboss" w:sz="24" w:space="0" w:color="002060"/>
              <w:left w:val="single" w:sz="4" w:space="0" w:color="FFFFFF"/>
              <w:bottom w:val="single" w:sz="4" w:space="0" w:color="FFFFFF"/>
              <w:right w:val="single" w:sz="4" w:space="0" w:color="FFFFFF"/>
            </w:tcBorders>
            <w:shd w:val="clear" w:color="auto" w:fill="C00000"/>
          </w:tcPr>
          <w:p w14:paraId="51366114" w14:textId="77777777" w:rsidR="003168F8" w:rsidRPr="00662CBC" w:rsidRDefault="003168F8" w:rsidP="006064D6">
            <w:pPr>
              <w:jc w:val="center"/>
              <w:rPr>
                <w:b/>
                <w:bCs/>
                <w:color w:val="FFFFFF" w:themeColor="background1"/>
              </w:rPr>
            </w:pPr>
          </w:p>
        </w:tc>
        <w:tc>
          <w:tcPr>
            <w:tcW w:w="1270" w:type="dxa"/>
            <w:tcBorders>
              <w:top w:val="threeDEmboss" w:sz="24" w:space="0" w:color="002060"/>
              <w:left w:val="single" w:sz="4" w:space="0" w:color="FFFFFF"/>
              <w:bottom w:val="single" w:sz="4" w:space="0" w:color="FFFFFF"/>
              <w:right w:val="single" w:sz="4" w:space="0" w:color="FFFFFF"/>
            </w:tcBorders>
            <w:shd w:val="clear" w:color="auto" w:fill="C00000"/>
          </w:tcPr>
          <w:p w14:paraId="2E371668" w14:textId="77777777" w:rsidR="003168F8" w:rsidRPr="00662CBC" w:rsidRDefault="003168F8" w:rsidP="006064D6">
            <w:pPr>
              <w:jc w:val="center"/>
              <w:rPr>
                <w:b/>
                <w:bCs/>
                <w:color w:val="FFFFFF" w:themeColor="background1"/>
              </w:rPr>
            </w:pPr>
          </w:p>
        </w:tc>
        <w:tc>
          <w:tcPr>
            <w:tcW w:w="1795" w:type="dxa"/>
            <w:tcBorders>
              <w:top w:val="threeDEmboss" w:sz="24" w:space="0" w:color="002060"/>
              <w:left w:val="single" w:sz="4" w:space="0" w:color="FFFFFF"/>
              <w:bottom w:val="single" w:sz="4" w:space="0" w:color="FFFFFF"/>
              <w:right w:val="single" w:sz="4" w:space="0" w:color="FFFFFF"/>
            </w:tcBorders>
            <w:shd w:val="clear" w:color="auto" w:fill="969696" w:themeFill="accent3"/>
          </w:tcPr>
          <w:p w14:paraId="12635AF7" w14:textId="77777777" w:rsidR="003168F8" w:rsidRPr="00662CBC" w:rsidRDefault="003168F8" w:rsidP="006064D6">
            <w:pPr>
              <w:jc w:val="center"/>
              <w:rPr>
                <w:b/>
                <w:bCs/>
                <w:color w:val="FFFFFF" w:themeColor="background1"/>
              </w:rPr>
            </w:pPr>
          </w:p>
        </w:tc>
        <w:tc>
          <w:tcPr>
            <w:tcW w:w="1495" w:type="dxa"/>
            <w:tcBorders>
              <w:top w:val="threeDEmboss" w:sz="24" w:space="0" w:color="002060"/>
              <w:left w:val="single" w:sz="4" w:space="0" w:color="FFFFFF"/>
              <w:bottom w:val="single" w:sz="4" w:space="0" w:color="FFFFFF"/>
              <w:right w:val="single" w:sz="4" w:space="0" w:color="FFFFFF" w:themeColor="background1"/>
            </w:tcBorders>
            <w:shd w:val="clear" w:color="auto" w:fill="098C44"/>
          </w:tcPr>
          <w:p w14:paraId="08A57EA4" w14:textId="77777777" w:rsidR="003168F8" w:rsidRPr="00662CBC" w:rsidRDefault="003168F8" w:rsidP="006064D6">
            <w:pPr>
              <w:jc w:val="center"/>
              <w:rPr>
                <w:b/>
                <w:bCs/>
                <w:color w:val="FFFFFF" w:themeColor="background1"/>
              </w:rPr>
            </w:pPr>
            <w:r w:rsidRPr="00662CBC">
              <w:rPr>
                <w:b/>
                <w:bCs/>
                <w:color w:val="FFFFFF" w:themeColor="background1"/>
              </w:rPr>
              <w:t>L</w:t>
            </w:r>
          </w:p>
        </w:tc>
      </w:tr>
      <w:tr w:rsidR="003168F8" w:rsidRPr="00662CBC" w14:paraId="7013FC8D" w14:textId="77777777" w:rsidTr="002811DD">
        <w:tc>
          <w:tcPr>
            <w:tcW w:w="426" w:type="dxa"/>
            <w:tcBorders>
              <w:top w:val="single" w:sz="4" w:space="0" w:color="FFFFFF"/>
              <w:left w:val="single" w:sz="4" w:space="0" w:color="FFFFFF" w:themeColor="background1"/>
              <w:bottom w:val="single" w:sz="4" w:space="0" w:color="FFFFFF" w:themeColor="background1"/>
              <w:right w:val="single" w:sz="4" w:space="0" w:color="FFFFFF"/>
            </w:tcBorders>
          </w:tcPr>
          <w:p w14:paraId="78959537"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single" w:sz="4" w:space="0" w:color="FFFFFF"/>
              <w:left w:val="single" w:sz="4" w:space="0" w:color="FFFFFF"/>
              <w:bottom w:val="single" w:sz="4" w:space="0" w:color="FFFFFF" w:themeColor="background1"/>
              <w:right w:val="single" w:sz="4" w:space="0" w:color="FFFFFF"/>
            </w:tcBorders>
          </w:tcPr>
          <w:p w14:paraId="1D8A4BA1" w14:textId="77777777" w:rsidR="003168F8" w:rsidRPr="00662CBC" w:rsidRDefault="003168F8" w:rsidP="006064D6">
            <w:r w:rsidRPr="00662CBC">
              <w:t xml:space="preserve">San Marino </w:t>
            </w:r>
          </w:p>
        </w:tc>
        <w:tc>
          <w:tcPr>
            <w:tcW w:w="1111" w:type="dxa"/>
            <w:tcBorders>
              <w:top w:val="single" w:sz="4" w:space="0" w:color="FFFFFF"/>
              <w:left w:val="single" w:sz="4" w:space="0" w:color="FFFFFF"/>
              <w:bottom w:val="single" w:sz="4" w:space="0" w:color="FFFFFF" w:themeColor="background1"/>
              <w:right w:val="single" w:sz="4" w:space="0" w:color="FFFFFF"/>
            </w:tcBorders>
            <w:shd w:val="clear" w:color="auto" w:fill="C00000"/>
          </w:tcPr>
          <w:p w14:paraId="5D8421A6" w14:textId="77777777" w:rsidR="003168F8" w:rsidRPr="00662CBC" w:rsidRDefault="003168F8" w:rsidP="006064D6">
            <w:pPr>
              <w:jc w:val="center"/>
              <w:rPr>
                <w:b/>
                <w:bCs/>
                <w:color w:val="FFFFFF" w:themeColor="background1"/>
              </w:rPr>
            </w:pPr>
          </w:p>
        </w:tc>
        <w:tc>
          <w:tcPr>
            <w:tcW w:w="1561" w:type="dxa"/>
            <w:tcBorders>
              <w:top w:val="single" w:sz="4" w:space="0" w:color="FFFFFF"/>
              <w:left w:val="single" w:sz="4" w:space="0" w:color="FFFFFF"/>
              <w:bottom w:val="single" w:sz="4" w:space="0" w:color="FFFFFF" w:themeColor="background1"/>
              <w:right w:val="single" w:sz="4" w:space="0" w:color="FFFFFF"/>
            </w:tcBorders>
            <w:shd w:val="clear" w:color="auto" w:fill="098C44"/>
          </w:tcPr>
          <w:p w14:paraId="310BC60E" w14:textId="77777777" w:rsidR="003168F8" w:rsidRPr="00662CBC" w:rsidRDefault="003168F8" w:rsidP="006064D6">
            <w:pPr>
              <w:jc w:val="center"/>
              <w:rPr>
                <w:b/>
                <w:bCs/>
                <w:color w:val="FFFFFF" w:themeColor="background1"/>
              </w:rPr>
            </w:pPr>
          </w:p>
        </w:tc>
        <w:tc>
          <w:tcPr>
            <w:tcW w:w="1269" w:type="dxa"/>
            <w:tcBorders>
              <w:top w:val="single" w:sz="4" w:space="0" w:color="FFFFFF"/>
              <w:left w:val="single" w:sz="4" w:space="0" w:color="FFFFFF"/>
              <w:bottom w:val="single" w:sz="4" w:space="0" w:color="FFFFFF" w:themeColor="background1"/>
              <w:right w:val="single" w:sz="4" w:space="0" w:color="FFFFFF"/>
            </w:tcBorders>
            <w:shd w:val="clear" w:color="auto" w:fill="969696" w:themeFill="accent3"/>
          </w:tcPr>
          <w:p w14:paraId="2BB9DE61" w14:textId="77777777" w:rsidR="003168F8" w:rsidRPr="00662CBC" w:rsidRDefault="003168F8" w:rsidP="006064D6">
            <w:pPr>
              <w:jc w:val="center"/>
              <w:rPr>
                <w:b/>
                <w:bCs/>
                <w:color w:val="FFFFFF" w:themeColor="background1"/>
              </w:rPr>
            </w:pPr>
          </w:p>
        </w:tc>
        <w:tc>
          <w:tcPr>
            <w:tcW w:w="0" w:type="auto"/>
            <w:tcBorders>
              <w:top w:val="single" w:sz="4" w:space="0" w:color="FFFFFF"/>
              <w:left w:val="single" w:sz="4" w:space="0" w:color="FFFFFF"/>
              <w:bottom w:val="single" w:sz="4" w:space="0" w:color="FFFFFF" w:themeColor="background1"/>
              <w:right w:val="single" w:sz="4" w:space="0" w:color="FFFFFF"/>
            </w:tcBorders>
            <w:shd w:val="clear" w:color="auto" w:fill="969696" w:themeFill="accent3"/>
          </w:tcPr>
          <w:p w14:paraId="1494FA2B" w14:textId="77777777" w:rsidR="003168F8" w:rsidRPr="00662CBC" w:rsidRDefault="003168F8" w:rsidP="006064D6">
            <w:pPr>
              <w:jc w:val="center"/>
              <w:rPr>
                <w:b/>
                <w:bCs/>
                <w:color w:val="FFFFFF" w:themeColor="background1"/>
              </w:rPr>
            </w:pPr>
          </w:p>
        </w:tc>
        <w:tc>
          <w:tcPr>
            <w:tcW w:w="1275" w:type="dxa"/>
            <w:tcBorders>
              <w:top w:val="single" w:sz="4" w:space="0" w:color="FFFFFF"/>
              <w:left w:val="single" w:sz="4" w:space="0" w:color="FFFFFF"/>
              <w:bottom w:val="single" w:sz="4" w:space="0" w:color="FFFFFF" w:themeColor="background1"/>
              <w:right w:val="single" w:sz="4" w:space="0" w:color="FFFFFF"/>
            </w:tcBorders>
            <w:shd w:val="clear" w:color="auto" w:fill="969696" w:themeFill="accent3"/>
          </w:tcPr>
          <w:p w14:paraId="324E0FAD" w14:textId="77777777" w:rsidR="003168F8" w:rsidRPr="00662CBC" w:rsidRDefault="003168F8" w:rsidP="006064D6">
            <w:pPr>
              <w:jc w:val="center"/>
              <w:rPr>
                <w:b/>
                <w:bCs/>
                <w:color w:val="FFFFFF" w:themeColor="background1"/>
              </w:rPr>
            </w:pPr>
          </w:p>
        </w:tc>
        <w:tc>
          <w:tcPr>
            <w:tcW w:w="1153" w:type="dxa"/>
            <w:tcBorders>
              <w:top w:val="single" w:sz="4" w:space="0" w:color="FFFFFF"/>
              <w:left w:val="single" w:sz="4" w:space="0" w:color="FFFFFF"/>
              <w:bottom w:val="single" w:sz="4" w:space="0" w:color="FFFFFF" w:themeColor="background1"/>
              <w:right w:val="single" w:sz="4" w:space="0" w:color="FFFFFF"/>
            </w:tcBorders>
            <w:shd w:val="clear" w:color="auto" w:fill="969696" w:themeFill="accent3"/>
          </w:tcPr>
          <w:p w14:paraId="77BC2155" w14:textId="77777777" w:rsidR="003168F8" w:rsidRPr="00662CBC" w:rsidRDefault="003168F8" w:rsidP="006064D6">
            <w:pPr>
              <w:jc w:val="center"/>
              <w:rPr>
                <w:b/>
                <w:bCs/>
                <w:color w:val="FFFFFF" w:themeColor="background1"/>
              </w:rPr>
            </w:pPr>
          </w:p>
        </w:tc>
        <w:tc>
          <w:tcPr>
            <w:tcW w:w="927" w:type="dxa"/>
            <w:tcBorders>
              <w:top w:val="single" w:sz="4" w:space="0" w:color="FFFFFF"/>
              <w:left w:val="single" w:sz="4" w:space="0" w:color="FFFFFF"/>
              <w:bottom w:val="single" w:sz="4" w:space="0" w:color="FFFFFF" w:themeColor="background1"/>
              <w:right w:val="single" w:sz="4" w:space="0" w:color="FFFFFF"/>
            </w:tcBorders>
            <w:shd w:val="clear" w:color="auto" w:fill="969696" w:themeFill="accent3"/>
          </w:tcPr>
          <w:p w14:paraId="0757B0A5" w14:textId="77777777" w:rsidR="003168F8" w:rsidRPr="00662CBC" w:rsidRDefault="003168F8" w:rsidP="006064D6">
            <w:pPr>
              <w:jc w:val="center"/>
              <w:rPr>
                <w:b/>
                <w:bCs/>
                <w:color w:val="FFFFFF" w:themeColor="background1"/>
              </w:rPr>
            </w:pPr>
          </w:p>
        </w:tc>
        <w:tc>
          <w:tcPr>
            <w:tcW w:w="1270" w:type="dxa"/>
            <w:tcBorders>
              <w:top w:val="single" w:sz="4" w:space="0" w:color="FFFFFF"/>
              <w:left w:val="single" w:sz="4" w:space="0" w:color="FFFFFF"/>
              <w:bottom w:val="single" w:sz="4" w:space="0" w:color="FFFFFF" w:themeColor="background1"/>
              <w:right w:val="single" w:sz="4" w:space="0" w:color="FFFFFF"/>
            </w:tcBorders>
            <w:shd w:val="clear" w:color="auto" w:fill="C00000"/>
          </w:tcPr>
          <w:p w14:paraId="4A2059AC" w14:textId="77777777" w:rsidR="003168F8" w:rsidRPr="00662CBC" w:rsidRDefault="003168F8" w:rsidP="006064D6">
            <w:pPr>
              <w:jc w:val="center"/>
              <w:rPr>
                <w:b/>
                <w:bCs/>
                <w:color w:val="FFFFFF" w:themeColor="background1"/>
              </w:rPr>
            </w:pPr>
          </w:p>
        </w:tc>
        <w:tc>
          <w:tcPr>
            <w:tcW w:w="1795" w:type="dxa"/>
            <w:tcBorders>
              <w:top w:val="single" w:sz="4" w:space="0" w:color="FFFFFF"/>
              <w:left w:val="single" w:sz="4" w:space="0" w:color="FFFFFF"/>
              <w:bottom w:val="single" w:sz="4" w:space="0" w:color="FFFFFF" w:themeColor="background1"/>
              <w:right w:val="single" w:sz="4" w:space="0" w:color="FFFFFF"/>
            </w:tcBorders>
            <w:shd w:val="clear" w:color="auto" w:fill="969696" w:themeFill="accent3"/>
          </w:tcPr>
          <w:p w14:paraId="561CEA02" w14:textId="77777777" w:rsidR="003168F8" w:rsidRPr="00662CBC" w:rsidRDefault="003168F8" w:rsidP="006064D6">
            <w:pPr>
              <w:jc w:val="center"/>
              <w:rPr>
                <w:b/>
                <w:bCs/>
                <w:color w:val="FFFFFF" w:themeColor="background1"/>
              </w:rPr>
            </w:pPr>
          </w:p>
        </w:tc>
        <w:tc>
          <w:tcPr>
            <w:tcW w:w="1495" w:type="dxa"/>
            <w:tcBorders>
              <w:top w:val="single" w:sz="4" w:space="0" w:color="FFFFFF"/>
              <w:left w:val="single" w:sz="4" w:space="0" w:color="FFFFFF"/>
              <w:bottom w:val="single" w:sz="4" w:space="0" w:color="FFFFFF" w:themeColor="background1"/>
              <w:right w:val="single" w:sz="4" w:space="0" w:color="FFFFFF" w:themeColor="background1"/>
            </w:tcBorders>
            <w:shd w:val="clear" w:color="auto" w:fill="098C44"/>
          </w:tcPr>
          <w:p w14:paraId="2E4A365B" w14:textId="77777777" w:rsidR="003168F8" w:rsidRPr="00662CBC" w:rsidRDefault="003168F8" w:rsidP="006064D6">
            <w:pPr>
              <w:jc w:val="center"/>
              <w:rPr>
                <w:b/>
                <w:bCs/>
                <w:color w:val="FFFFFF" w:themeColor="background1"/>
              </w:rPr>
            </w:pPr>
            <w:r w:rsidRPr="00662CBC">
              <w:rPr>
                <w:b/>
                <w:bCs/>
                <w:color w:val="FFFFFF" w:themeColor="background1"/>
              </w:rPr>
              <w:t>L</w:t>
            </w:r>
          </w:p>
        </w:tc>
      </w:tr>
      <w:tr w:rsidR="003168F8" w:rsidRPr="00662CBC" w14:paraId="30EA2DCC" w14:textId="77777777" w:rsidTr="001B6D6A">
        <w:tc>
          <w:tcPr>
            <w:tcW w:w="426" w:type="dxa"/>
            <w:tcBorders>
              <w:top w:val="single" w:sz="4" w:space="0" w:color="FFFFFF" w:themeColor="background1"/>
              <w:left w:val="single" w:sz="4" w:space="0" w:color="FFFFFF" w:themeColor="background1"/>
              <w:bottom w:val="threeDEmboss" w:sz="24" w:space="0" w:color="002060"/>
              <w:right w:val="single" w:sz="4" w:space="0" w:color="FFFFFF"/>
            </w:tcBorders>
          </w:tcPr>
          <w:p w14:paraId="49CC8F9A"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single" w:sz="4" w:space="0" w:color="FFFFFF" w:themeColor="background1"/>
              <w:left w:val="single" w:sz="4" w:space="0" w:color="FFFFFF"/>
              <w:bottom w:val="threeDEmboss" w:sz="24" w:space="0" w:color="002060"/>
              <w:right w:val="single" w:sz="4" w:space="0" w:color="FFFFFF"/>
            </w:tcBorders>
          </w:tcPr>
          <w:p w14:paraId="47ADF3D1" w14:textId="77777777" w:rsidR="003168F8" w:rsidRPr="00662CBC" w:rsidRDefault="003168F8" w:rsidP="006064D6">
            <w:r w:rsidRPr="00662CBC">
              <w:t>Serbia</w:t>
            </w:r>
          </w:p>
        </w:tc>
        <w:tc>
          <w:tcPr>
            <w:tcW w:w="1111" w:type="dxa"/>
            <w:tcBorders>
              <w:top w:val="single" w:sz="4" w:space="0" w:color="FFFFFF" w:themeColor="background1"/>
              <w:left w:val="single" w:sz="4" w:space="0" w:color="FFFFFF"/>
              <w:bottom w:val="threeDEmboss" w:sz="24" w:space="0" w:color="002060"/>
              <w:right w:val="single" w:sz="4" w:space="0" w:color="FFFFFF"/>
            </w:tcBorders>
            <w:shd w:val="clear" w:color="auto" w:fill="098C44"/>
          </w:tcPr>
          <w:p w14:paraId="776F6FD7" w14:textId="77777777" w:rsidR="003168F8" w:rsidRPr="00662CBC" w:rsidRDefault="003168F8" w:rsidP="006064D6">
            <w:pPr>
              <w:jc w:val="center"/>
              <w:rPr>
                <w:b/>
                <w:bCs/>
                <w:color w:val="FFFFFF" w:themeColor="background1"/>
              </w:rPr>
            </w:pPr>
            <w:r w:rsidRPr="00662CBC">
              <w:rPr>
                <w:b/>
                <w:bCs/>
                <w:color w:val="FFFFFF" w:themeColor="background1"/>
              </w:rPr>
              <w:t xml:space="preserve">C +L </w:t>
            </w:r>
          </w:p>
        </w:tc>
        <w:tc>
          <w:tcPr>
            <w:tcW w:w="1561" w:type="dxa"/>
            <w:tcBorders>
              <w:top w:val="single" w:sz="4" w:space="0" w:color="FFFFFF" w:themeColor="background1"/>
              <w:left w:val="single" w:sz="4" w:space="0" w:color="FFFFFF"/>
              <w:bottom w:val="threeDEmboss" w:sz="24" w:space="0" w:color="002060"/>
              <w:right w:val="single" w:sz="4" w:space="0" w:color="FFFFFF"/>
            </w:tcBorders>
            <w:shd w:val="clear" w:color="auto" w:fill="098C44"/>
          </w:tcPr>
          <w:p w14:paraId="09227FEC" w14:textId="77777777" w:rsidR="003168F8" w:rsidRPr="00662CBC" w:rsidRDefault="003168F8" w:rsidP="006064D6">
            <w:pPr>
              <w:jc w:val="center"/>
              <w:rPr>
                <w:b/>
                <w:bCs/>
                <w:color w:val="FFFFFF" w:themeColor="background1"/>
              </w:rPr>
            </w:pPr>
            <w:r w:rsidRPr="00662CBC">
              <w:rPr>
                <w:b/>
                <w:bCs/>
                <w:color w:val="FFFFFF" w:themeColor="background1"/>
              </w:rPr>
              <w:t>L</w:t>
            </w:r>
          </w:p>
          <w:p w14:paraId="0B923B1B" w14:textId="77777777" w:rsidR="003168F8" w:rsidRPr="00662CBC" w:rsidRDefault="003168F8" w:rsidP="006064D6">
            <w:pPr>
              <w:jc w:val="center"/>
              <w:rPr>
                <w:b/>
                <w:bCs/>
                <w:color w:val="FFFFFF" w:themeColor="background1"/>
              </w:rPr>
            </w:pPr>
            <w:r w:rsidRPr="00662CBC">
              <w:rPr>
                <w:b/>
                <w:bCs/>
                <w:color w:val="FFFFFF" w:themeColor="background1"/>
              </w:rPr>
              <w:t>No sanctions at S-level</w:t>
            </w:r>
          </w:p>
        </w:tc>
        <w:tc>
          <w:tcPr>
            <w:tcW w:w="1269" w:type="dxa"/>
            <w:tcBorders>
              <w:top w:val="single" w:sz="4" w:space="0" w:color="FFFFFF" w:themeColor="background1"/>
              <w:left w:val="single" w:sz="4" w:space="0" w:color="FFFFFF"/>
              <w:bottom w:val="threeDEmboss" w:sz="24" w:space="0" w:color="002060"/>
              <w:right w:val="single" w:sz="4" w:space="0" w:color="FFFFFF"/>
            </w:tcBorders>
            <w:shd w:val="clear" w:color="auto" w:fill="FB786F"/>
          </w:tcPr>
          <w:p w14:paraId="03F24165" w14:textId="77777777" w:rsidR="003168F8" w:rsidRPr="00662CBC" w:rsidRDefault="003168F8" w:rsidP="006064D6">
            <w:pPr>
              <w:jc w:val="center"/>
              <w:rPr>
                <w:b/>
                <w:bCs/>
                <w:color w:val="FFFFFF" w:themeColor="background1"/>
              </w:rPr>
            </w:pPr>
          </w:p>
        </w:tc>
        <w:tc>
          <w:tcPr>
            <w:tcW w:w="0" w:type="auto"/>
            <w:tcBorders>
              <w:top w:val="single" w:sz="4" w:space="0" w:color="FFFFFF" w:themeColor="background1"/>
              <w:left w:val="single" w:sz="4" w:space="0" w:color="FFFFFF"/>
              <w:bottom w:val="threeDEmboss" w:sz="24" w:space="0" w:color="002060"/>
              <w:right w:val="single" w:sz="4" w:space="0" w:color="FFFFFF"/>
            </w:tcBorders>
            <w:shd w:val="clear" w:color="auto" w:fill="969696" w:themeFill="accent3"/>
          </w:tcPr>
          <w:p w14:paraId="7FC37736" w14:textId="77777777" w:rsidR="003168F8" w:rsidRPr="00662CBC" w:rsidRDefault="003168F8" w:rsidP="006064D6">
            <w:pPr>
              <w:jc w:val="center"/>
              <w:rPr>
                <w:b/>
                <w:bCs/>
                <w:color w:val="FFFFFF" w:themeColor="background1"/>
              </w:rPr>
            </w:pPr>
          </w:p>
        </w:tc>
        <w:tc>
          <w:tcPr>
            <w:tcW w:w="1275" w:type="dxa"/>
            <w:tcBorders>
              <w:top w:val="single" w:sz="4" w:space="0" w:color="FFFFFF" w:themeColor="background1"/>
              <w:left w:val="single" w:sz="4" w:space="0" w:color="FFFFFF"/>
              <w:bottom w:val="threeDEmboss" w:sz="24" w:space="0" w:color="002060"/>
              <w:right w:val="single" w:sz="4" w:space="0" w:color="FFFFFF"/>
            </w:tcBorders>
            <w:shd w:val="clear" w:color="auto" w:fill="098C44"/>
          </w:tcPr>
          <w:p w14:paraId="08C14350" w14:textId="77777777" w:rsidR="003168F8" w:rsidRPr="00662CBC" w:rsidRDefault="003168F8" w:rsidP="006064D6">
            <w:pPr>
              <w:jc w:val="center"/>
              <w:rPr>
                <w:b/>
                <w:bCs/>
                <w:color w:val="FFFFFF" w:themeColor="background1"/>
              </w:rPr>
            </w:pPr>
            <w:r w:rsidRPr="00662CBC">
              <w:rPr>
                <w:b/>
                <w:bCs/>
                <w:color w:val="FFFFFF" w:themeColor="background1"/>
              </w:rPr>
              <w:t>L</w:t>
            </w:r>
          </w:p>
        </w:tc>
        <w:tc>
          <w:tcPr>
            <w:tcW w:w="1153" w:type="dxa"/>
            <w:tcBorders>
              <w:top w:val="single" w:sz="4" w:space="0" w:color="FFFFFF" w:themeColor="background1"/>
              <w:left w:val="single" w:sz="4" w:space="0" w:color="FFFFFF"/>
              <w:bottom w:val="threeDEmboss" w:sz="24" w:space="0" w:color="002060"/>
              <w:right w:val="single" w:sz="4" w:space="0" w:color="FFFFFF"/>
            </w:tcBorders>
            <w:shd w:val="clear" w:color="auto" w:fill="00B0F0"/>
          </w:tcPr>
          <w:p w14:paraId="79400EBA" w14:textId="53D2292D" w:rsidR="003168F8" w:rsidRPr="00662CBC" w:rsidRDefault="001B6D6A" w:rsidP="001B6D6A">
            <w:pPr>
              <w:jc w:val="center"/>
              <w:rPr>
                <w:b/>
                <w:bCs/>
                <w:color w:val="FFFFFF" w:themeColor="background1"/>
              </w:rPr>
            </w:pPr>
            <w:r>
              <w:rPr>
                <w:b/>
                <w:bCs/>
                <w:color w:val="FFFFFF" w:themeColor="background1"/>
              </w:rPr>
              <w:t>L</w:t>
            </w:r>
          </w:p>
        </w:tc>
        <w:tc>
          <w:tcPr>
            <w:tcW w:w="927" w:type="dxa"/>
            <w:tcBorders>
              <w:top w:val="single" w:sz="4" w:space="0" w:color="FFFFFF" w:themeColor="background1"/>
              <w:left w:val="single" w:sz="4" w:space="0" w:color="FFFFFF"/>
              <w:bottom w:val="threeDEmboss" w:sz="24" w:space="0" w:color="002060"/>
              <w:right w:val="single" w:sz="4" w:space="0" w:color="FFFFFF"/>
            </w:tcBorders>
            <w:shd w:val="clear" w:color="auto" w:fill="969696" w:themeFill="accent3"/>
          </w:tcPr>
          <w:p w14:paraId="2981FE64" w14:textId="77777777" w:rsidR="003168F8" w:rsidRPr="00662CBC" w:rsidRDefault="003168F8" w:rsidP="006064D6">
            <w:pPr>
              <w:jc w:val="left"/>
              <w:rPr>
                <w:b/>
                <w:bCs/>
                <w:color w:val="FFFFFF" w:themeColor="background1"/>
              </w:rPr>
            </w:pPr>
          </w:p>
        </w:tc>
        <w:tc>
          <w:tcPr>
            <w:tcW w:w="1270" w:type="dxa"/>
            <w:tcBorders>
              <w:top w:val="single" w:sz="4" w:space="0" w:color="FFFFFF" w:themeColor="background1"/>
              <w:left w:val="single" w:sz="4" w:space="0" w:color="FFFFFF"/>
              <w:bottom w:val="threeDEmboss" w:sz="24" w:space="0" w:color="002060"/>
              <w:right w:val="single" w:sz="4" w:space="0" w:color="FFFFFF"/>
            </w:tcBorders>
            <w:shd w:val="clear" w:color="auto" w:fill="098C44"/>
          </w:tcPr>
          <w:p w14:paraId="7B090FE0" w14:textId="77777777" w:rsidR="003168F8" w:rsidRPr="00662CBC" w:rsidRDefault="003168F8" w:rsidP="006064D6">
            <w:pPr>
              <w:jc w:val="left"/>
              <w:rPr>
                <w:b/>
                <w:bCs/>
                <w:color w:val="FFFFFF" w:themeColor="background1"/>
              </w:rPr>
            </w:pPr>
          </w:p>
        </w:tc>
        <w:tc>
          <w:tcPr>
            <w:tcW w:w="1795" w:type="dxa"/>
            <w:tcBorders>
              <w:top w:val="single" w:sz="4" w:space="0" w:color="FFFFFF" w:themeColor="background1"/>
              <w:left w:val="single" w:sz="4" w:space="0" w:color="FFFFFF"/>
              <w:bottom w:val="threeDEmboss" w:sz="24" w:space="0" w:color="002060"/>
              <w:right w:val="single" w:sz="4" w:space="0" w:color="FFFFFF"/>
            </w:tcBorders>
            <w:shd w:val="clear" w:color="auto" w:fill="098C44"/>
          </w:tcPr>
          <w:p w14:paraId="25B30481" w14:textId="77777777" w:rsidR="003168F8" w:rsidRPr="00662CBC" w:rsidRDefault="003168F8" w:rsidP="006064D6">
            <w:pPr>
              <w:jc w:val="left"/>
              <w:rPr>
                <w:b/>
                <w:bCs/>
                <w:color w:val="FFFFFF" w:themeColor="background1"/>
              </w:rPr>
            </w:pPr>
            <w:r w:rsidRPr="00662CBC">
              <w:rPr>
                <w:b/>
                <w:bCs/>
                <w:color w:val="FFFFFF" w:themeColor="background1"/>
              </w:rPr>
              <w:t xml:space="preserve">“In the areas of social life marked by an unbalanced representation” </w:t>
            </w:r>
            <w:r w:rsidRPr="00662CBC">
              <w:rPr>
                <w:b/>
                <w:bCs/>
                <w:color w:val="FFFFFF" w:themeColor="background1"/>
              </w:rPr>
              <w:br/>
              <w:t>- Diplomacy</w:t>
            </w:r>
            <w:r w:rsidRPr="00662CBC">
              <w:rPr>
                <w:b/>
                <w:bCs/>
                <w:color w:val="FFFFFF" w:themeColor="background1"/>
              </w:rPr>
              <w:br/>
              <w:t>- Trade Unions</w:t>
            </w:r>
          </w:p>
          <w:p w14:paraId="5FC093B7" w14:textId="77777777" w:rsidR="003168F8" w:rsidRPr="00662CBC" w:rsidRDefault="003168F8" w:rsidP="006064D6">
            <w:pPr>
              <w:jc w:val="center"/>
              <w:rPr>
                <w:b/>
                <w:bCs/>
                <w:color w:val="FFFFFF" w:themeColor="background1"/>
              </w:rPr>
            </w:pPr>
            <w:r w:rsidRPr="00662CBC">
              <w:rPr>
                <w:b/>
                <w:bCs/>
                <w:color w:val="FFFFFF" w:themeColor="background1"/>
              </w:rPr>
              <w:t>Electoral Commissions</w:t>
            </w:r>
          </w:p>
          <w:p w14:paraId="79EFBEED" w14:textId="77777777" w:rsidR="003168F8" w:rsidRPr="00662CBC" w:rsidRDefault="003168F8" w:rsidP="006064D6">
            <w:pPr>
              <w:jc w:val="center"/>
              <w:rPr>
                <w:b/>
                <w:bCs/>
                <w:color w:val="FFFFFF" w:themeColor="background1"/>
              </w:rPr>
            </w:pPr>
          </w:p>
        </w:tc>
        <w:tc>
          <w:tcPr>
            <w:tcW w:w="1495" w:type="dxa"/>
            <w:tcBorders>
              <w:top w:val="single" w:sz="4" w:space="0" w:color="FFFFFF" w:themeColor="background1"/>
              <w:left w:val="single" w:sz="4" w:space="0" w:color="FFFFFF"/>
              <w:bottom w:val="threeDEmboss" w:sz="24" w:space="0" w:color="002060"/>
              <w:right w:val="single" w:sz="4" w:space="0" w:color="FFFFFF" w:themeColor="background1"/>
            </w:tcBorders>
            <w:shd w:val="clear" w:color="auto" w:fill="098C44"/>
          </w:tcPr>
          <w:p w14:paraId="7D7C7611" w14:textId="77777777" w:rsidR="003168F8" w:rsidRPr="00662CBC" w:rsidRDefault="003168F8" w:rsidP="006064D6">
            <w:pPr>
              <w:jc w:val="center"/>
              <w:rPr>
                <w:b/>
                <w:bCs/>
                <w:color w:val="FFFFFF" w:themeColor="background1"/>
              </w:rPr>
            </w:pPr>
            <w:r w:rsidRPr="00662CBC">
              <w:rPr>
                <w:b/>
                <w:bCs/>
                <w:color w:val="FFFFFF" w:themeColor="background1"/>
              </w:rPr>
              <w:t>L</w:t>
            </w:r>
          </w:p>
          <w:p w14:paraId="2ACA60A4" w14:textId="77777777" w:rsidR="003168F8" w:rsidRPr="00662CBC" w:rsidRDefault="003168F8" w:rsidP="006064D6">
            <w:pPr>
              <w:jc w:val="center"/>
              <w:rPr>
                <w:b/>
                <w:bCs/>
                <w:color w:val="FFFFFF" w:themeColor="background1"/>
              </w:rPr>
            </w:pPr>
            <w:r w:rsidRPr="00662CBC">
              <w:rPr>
                <w:b/>
                <w:bCs/>
                <w:color w:val="FFFFFF" w:themeColor="background1"/>
              </w:rPr>
              <w:t>Unclear if it applies to the public sector</w:t>
            </w:r>
          </w:p>
        </w:tc>
      </w:tr>
      <w:tr w:rsidR="003168F8" w:rsidRPr="00662CBC" w14:paraId="06AEEEAC" w14:textId="77777777" w:rsidTr="00630FFF">
        <w:tc>
          <w:tcPr>
            <w:tcW w:w="426" w:type="dxa"/>
            <w:tcBorders>
              <w:top w:val="threeDEmboss" w:sz="24" w:space="0" w:color="002060"/>
              <w:left w:val="threeDEmboss" w:sz="24" w:space="0" w:color="002060"/>
              <w:bottom w:val="single" w:sz="4" w:space="0" w:color="FFFFFF" w:themeColor="background1"/>
              <w:right w:val="single" w:sz="4" w:space="0" w:color="FFFFFF" w:themeColor="background1"/>
            </w:tcBorders>
          </w:tcPr>
          <w:p w14:paraId="22EBCA1F"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threeDEmboss" w:sz="24" w:space="0" w:color="002060"/>
              <w:left w:val="single" w:sz="4" w:space="0" w:color="FFFFFF" w:themeColor="background1"/>
              <w:bottom w:val="single" w:sz="4" w:space="0" w:color="FFFFFF" w:themeColor="background1"/>
              <w:right w:val="single" w:sz="4" w:space="0" w:color="FFFFFF" w:themeColor="background1"/>
            </w:tcBorders>
          </w:tcPr>
          <w:p w14:paraId="4AB5C706" w14:textId="77777777" w:rsidR="003168F8" w:rsidRPr="00662CBC" w:rsidRDefault="003168F8" w:rsidP="006064D6">
            <w:r w:rsidRPr="00662CBC">
              <w:t>Slovakia</w:t>
            </w:r>
          </w:p>
        </w:tc>
        <w:tc>
          <w:tcPr>
            <w:tcW w:w="1111" w:type="dxa"/>
            <w:tcBorders>
              <w:top w:val="threeDEmboss" w:sz="24" w:space="0" w:color="002060"/>
              <w:left w:val="single" w:sz="4" w:space="0" w:color="FFFFFF" w:themeColor="background1"/>
              <w:bottom w:val="single" w:sz="4" w:space="0" w:color="FFFFFF" w:themeColor="background1"/>
              <w:right w:val="single" w:sz="4" w:space="0" w:color="FFFFFF" w:themeColor="background1"/>
            </w:tcBorders>
            <w:shd w:val="clear" w:color="auto" w:fill="C00000"/>
          </w:tcPr>
          <w:p w14:paraId="3AA12120" w14:textId="77777777" w:rsidR="003168F8" w:rsidRPr="00662CBC" w:rsidRDefault="003168F8" w:rsidP="006064D6">
            <w:pPr>
              <w:jc w:val="center"/>
              <w:rPr>
                <w:b/>
                <w:bCs/>
                <w:color w:val="FFFFFF" w:themeColor="background1"/>
              </w:rPr>
            </w:pPr>
          </w:p>
        </w:tc>
        <w:tc>
          <w:tcPr>
            <w:tcW w:w="1561" w:type="dxa"/>
            <w:tcBorders>
              <w:top w:val="threeDEmboss" w:sz="24" w:space="0" w:color="002060"/>
              <w:left w:val="single" w:sz="4" w:space="0" w:color="FFFFFF" w:themeColor="background1"/>
              <w:bottom w:val="single" w:sz="4" w:space="0" w:color="FFFFFF" w:themeColor="background1"/>
              <w:right w:val="single" w:sz="4" w:space="0" w:color="FFFFFF" w:themeColor="background1"/>
            </w:tcBorders>
            <w:shd w:val="clear" w:color="auto" w:fill="C00000"/>
          </w:tcPr>
          <w:p w14:paraId="52808A56" w14:textId="77777777" w:rsidR="003168F8" w:rsidRPr="00662CBC" w:rsidRDefault="003168F8" w:rsidP="006064D6">
            <w:pPr>
              <w:jc w:val="center"/>
              <w:rPr>
                <w:b/>
                <w:bCs/>
                <w:color w:val="FFFFFF" w:themeColor="background1"/>
              </w:rPr>
            </w:pPr>
          </w:p>
        </w:tc>
        <w:tc>
          <w:tcPr>
            <w:tcW w:w="1269" w:type="dxa"/>
            <w:tcBorders>
              <w:top w:val="threeDEmboss" w:sz="24" w:space="0" w:color="002060"/>
              <w:left w:val="single" w:sz="4" w:space="0" w:color="FFFFFF" w:themeColor="background1"/>
              <w:bottom w:val="single" w:sz="4" w:space="0" w:color="FFFFFF" w:themeColor="background1"/>
              <w:right w:val="single" w:sz="4" w:space="0" w:color="FFFFFF" w:themeColor="background1"/>
            </w:tcBorders>
            <w:shd w:val="clear" w:color="auto" w:fill="F2FB93"/>
          </w:tcPr>
          <w:p w14:paraId="2847EA8C" w14:textId="77777777" w:rsidR="003168F8" w:rsidRPr="00662CBC" w:rsidRDefault="003168F8" w:rsidP="006064D6">
            <w:pPr>
              <w:jc w:val="center"/>
              <w:rPr>
                <w:b/>
                <w:bCs/>
                <w:color w:val="FFFFFF" w:themeColor="background1"/>
              </w:rPr>
            </w:pPr>
          </w:p>
        </w:tc>
        <w:tc>
          <w:tcPr>
            <w:tcW w:w="0" w:type="auto"/>
            <w:tcBorders>
              <w:top w:val="threeDEmboss" w:sz="24" w:space="0" w:color="002060"/>
              <w:left w:val="single" w:sz="4" w:space="0" w:color="FFFFFF" w:themeColor="background1"/>
              <w:bottom w:val="single" w:sz="4" w:space="0" w:color="FFFFFF" w:themeColor="background1"/>
              <w:right w:val="single" w:sz="4" w:space="0" w:color="FFFFFF" w:themeColor="background1"/>
            </w:tcBorders>
            <w:shd w:val="clear" w:color="auto" w:fill="C00000"/>
          </w:tcPr>
          <w:p w14:paraId="69FDC683" w14:textId="77777777" w:rsidR="003168F8" w:rsidRPr="00662CBC" w:rsidRDefault="003168F8" w:rsidP="006064D6">
            <w:pPr>
              <w:jc w:val="center"/>
              <w:rPr>
                <w:b/>
                <w:bCs/>
                <w:color w:val="FFFFFF" w:themeColor="background1"/>
              </w:rPr>
            </w:pPr>
          </w:p>
        </w:tc>
        <w:tc>
          <w:tcPr>
            <w:tcW w:w="1275" w:type="dxa"/>
            <w:tcBorders>
              <w:top w:val="threeDEmboss" w:sz="24" w:space="0" w:color="002060"/>
              <w:left w:val="single" w:sz="4" w:space="0" w:color="FFFFFF" w:themeColor="background1"/>
              <w:bottom w:val="single" w:sz="4" w:space="0" w:color="FFFFFF" w:themeColor="background1"/>
              <w:right w:val="single" w:sz="4" w:space="0" w:color="FFFFFF" w:themeColor="background1"/>
            </w:tcBorders>
            <w:shd w:val="clear" w:color="auto" w:fill="969696" w:themeFill="accent3"/>
          </w:tcPr>
          <w:p w14:paraId="47B57EA2" w14:textId="77777777" w:rsidR="003168F8" w:rsidRPr="00662CBC" w:rsidRDefault="003168F8" w:rsidP="006064D6">
            <w:pPr>
              <w:jc w:val="center"/>
              <w:rPr>
                <w:b/>
                <w:bCs/>
                <w:color w:val="FFFFFF" w:themeColor="background1"/>
              </w:rPr>
            </w:pPr>
          </w:p>
        </w:tc>
        <w:tc>
          <w:tcPr>
            <w:tcW w:w="1153" w:type="dxa"/>
            <w:tcBorders>
              <w:top w:val="threeDEmboss" w:sz="24" w:space="0" w:color="002060"/>
              <w:left w:val="single" w:sz="4" w:space="0" w:color="FFFFFF" w:themeColor="background1"/>
              <w:bottom w:val="single" w:sz="4" w:space="0" w:color="FFFFFF" w:themeColor="background1"/>
              <w:right w:val="single" w:sz="4" w:space="0" w:color="FFFFFF" w:themeColor="background1"/>
            </w:tcBorders>
            <w:shd w:val="clear" w:color="auto" w:fill="C00000"/>
          </w:tcPr>
          <w:p w14:paraId="18C7EE09" w14:textId="77777777" w:rsidR="003168F8" w:rsidRPr="00662CBC" w:rsidRDefault="003168F8" w:rsidP="006064D6">
            <w:pPr>
              <w:jc w:val="center"/>
              <w:rPr>
                <w:b/>
                <w:bCs/>
                <w:color w:val="FFFFFF" w:themeColor="background1"/>
              </w:rPr>
            </w:pPr>
          </w:p>
        </w:tc>
        <w:tc>
          <w:tcPr>
            <w:tcW w:w="927" w:type="dxa"/>
            <w:tcBorders>
              <w:top w:val="threeDEmboss" w:sz="24" w:space="0" w:color="002060"/>
              <w:left w:val="single" w:sz="4" w:space="0" w:color="FFFFFF" w:themeColor="background1"/>
              <w:bottom w:val="single" w:sz="4" w:space="0" w:color="FFFFFF" w:themeColor="background1"/>
              <w:right w:val="single" w:sz="4" w:space="0" w:color="FFFFFF" w:themeColor="background1"/>
            </w:tcBorders>
            <w:shd w:val="clear" w:color="auto" w:fill="C00000"/>
          </w:tcPr>
          <w:p w14:paraId="4903994C" w14:textId="77777777" w:rsidR="003168F8" w:rsidRPr="00662CBC" w:rsidRDefault="003168F8" w:rsidP="006064D6">
            <w:pPr>
              <w:jc w:val="center"/>
              <w:rPr>
                <w:b/>
                <w:bCs/>
                <w:color w:val="FFFFFF" w:themeColor="background1"/>
              </w:rPr>
            </w:pPr>
          </w:p>
        </w:tc>
        <w:tc>
          <w:tcPr>
            <w:tcW w:w="1270" w:type="dxa"/>
            <w:tcBorders>
              <w:top w:val="threeDEmboss" w:sz="24" w:space="0" w:color="002060"/>
              <w:left w:val="single" w:sz="4" w:space="0" w:color="FFFFFF" w:themeColor="background1"/>
              <w:bottom w:val="single" w:sz="4" w:space="0" w:color="FFFFFF" w:themeColor="background1"/>
              <w:right w:val="single" w:sz="4" w:space="0" w:color="FFFFFF" w:themeColor="background1"/>
            </w:tcBorders>
            <w:shd w:val="clear" w:color="auto" w:fill="098C44"/>
          </w:tcPr>
          <w:p w14:paraId="2A1CE422" w14:textId="77777777" w:rsidR="003168F8" w:rsidRPr="00662CBC" w:rsidRDefault="003168F8" w:rsidP="006064D6">
            <w:pPr>
              <w:jc w:val="center"/>
              <w:rPr>
                <w:b/>
                <w:bCs/>
                <w:color w:val="FFFFFF" w:themeColor="background1"/>
              </w:rPr>
            </w:pPr>
          </w:p>
        </w:tc>
        <w:tc>
          <w:tcPr>
            <w:tcW w:w="1795" w:type="dxa"/>
            <w:tcBorders>
              <w:top w:val="threeDEmboss" w:sz="24" w:space="0" w:color="002060"/>
              <w:left w:val="single" w:sz="4" w:space="0" w:color="FFFFFF" w:themeColor="background1"/>
              <w:bottom w:val="single" w:sz="4" w:space="0" w:color="FFFFFF" w:themeColor="background1"/>
              <w:right w:val="single" w:sz="4" w:space="0" w:color="FFFFFF" w:themeColor="background1"/>
            </w:tcBorders>
            <w:shd w:val="clear" w:color="auto" w:fill="969696" w:themeFill="accent3"/>
          </w:tcPr>
          <w:p w14:paraId="3168B8EE" w14:textId="77777777" w:rsidR="003168F8" w:rsidRPr="00662CBC" w:rsidRDefault="003168F8" w:rsidP="006064D6">
            <w:pPr>
              <w:jc w:val="center"/>
              <w:rPr>
                <w:b/>
                <w:bCs/>
                <w:color w:val="FFFFFF" w:themeColor="background1"/>
              </w:rPr>
            </w:pPr>
          </w:p>
        </w:tc>
        <w:tc>
          <w:tcPr>
            <w:tcW w:w="1495" w:type="dxa"/>
            <w:tcBorders>
              <w:top w:val="threeDEmboss" w:sz="24" w:space="0" w:color="002060"/>
              <w:left w:val="single" w:sz="4" w:space="0" w:color="FFFFFF" w:themeColor="background1"/>
              <w:bottom w:val="single" w:sz="4" w:space="0" w:color="FFFFFF" w:themeColor="background1"/>
              <w:right w:val="threeDEmboss" w:sz="24" w:space="0" w:color="002060"/>
            </w:tcBorders>
            <w:shd w:val="clear" w:color="auto" w:fill="098C44"/>
          </w:tcPr>
          <w:p w14:paraId="198B4E5E" w14:textId="77777777" w:rsidR="003168F8" w:rsidRPr="00662CBC" w:rsidRDefault="003168F8" w:rsidP="006064D6">
            <w:pPr>
              <w:jc w:val="center"/>
              <w:rPr>
                <w:b/>
                <w:bCs/>
                <w:color w:val="FFFFFF" w:themeColor="background1"/>
              </w:rPr>
            </w:pPr>
            <w:r w:rsidRPr="00662CBC">
              <w:rPr>
                <w:b/>
                <w:bCs/>
                <w:color w:val="FFFFFF" w:themeColor="background1"/>
              </w:rPr>
              <w:t>L</w:t>
            </w:r>
          </w:p>
          <w:p w14:paraId="104A1FB4" w14:textId="77777777" w:rsidR="003168F8" w:rsidRPr="00662CBC" w:rsidRDefault="003168F8" w:rsidP="006064D6">
            <w:pPr>
              <w:jc w:val="center"/>
              <w:rPr>
                <w:b/>
                <w:bCs/>
                <w:color w:val="FFFFFF" w:themeColor="background1"/>
              </w:rPr>
            </w:pPr>
            <w:r w:rsidRPr="00662CBC">
              <w:rPr>
                <w:b/>
                <w:bCs/>
                <w:color w:val="FFFFFF" w:themeColor="background1"/>
              </w:rPr>
              <w:lastRenderedPageBreak/>
              <w:t>Unclear if it applies to the public sector</w:t>
            </w:r>
          </w:p>
        </w:tc>
      </w:tr>
      <w:tr w:rsidR="003168F8" w:rsidRPr="00662CBC" w14:paraId="5F215FDE" w14:textId="77777777" w:rsidTr="00050CEF">
        <w:tc>
          <w:tcPr>
            <w:tcW w:w="426" w:type="dxa"/>
            <w:tcBorders>
              <w:top w:val="single" w:sz="4" w:space="0" w:color="FFFFFF" w:themeColor="background1"/>
              <w:left w:val="threeDEmboss" w:sz="24" w:space="0" w:color="002060"/>
              <w:bottom w:val="single" w:sz="4" w:space="0" w:color="FFFFFF" w:themeColor="background1"/>
              <w:right w:val="single" w:sz="4" w:space="0" w:color="FFFFFF" w:themeColor="background1"/>
            </w:tcBorders>
          </w:tcPr>
          <w:p w14:paraId="0006EB65"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8129EE" w14:textId="77777777" w:rsidR="003168F8" w:rsidRPr="00662CBC" w:rsidRDefault="003168F8" w:rsidP="006064D6">
            <w:r w:rsidRPr="00662CBC">
              <w:t>Slovenia</w:t>
            </w:r>
          </w:p>
        </w:tc>
        <w:tc>
          <w:tcPr>
            <w:tcW w:w="1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98C44"/>
          </w:tcPr>
          <w:p w14:paraId="0A3257B2" w14:textId="77777777" w:rsidR="003168F8" w:rsidRPr="00662CBC" w:rsidRDefault="003168F8" w:rsidP="006064D6">
            <w:pPr>
              <w:jc w:val="center"/>
              <w:rPr>
                <w:b/>
                <w:bCs/>
                <w:color w:val="FFFFFF" w:themeColor="background1"/>
              </w:rPr>
            </w:pPr>
            <w:r w:rsidRPr="00662CBC">
              <w:rPr>
                <w:b/>
                <w:bCs/>
                <w:color w:val="FFFFFF" w:themeColor="background1"/>
              </w:rPr>
              <w:t>C</w:t>
            </w:r>
          </w:p>
        </w:tc>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98C44"/>
          </w:tcPr>
          <w:p w14:paraId="485B0CAC" w14:textId="77777777" w:rsidR="003168F8" w:rsidRPr="00662CBC" w:rsidRDefault="003168F8" w:rsidP="006064D6">
            <w:pPr>
              <w:jc w:val="center"/>
              <w:rPr>
                <w:b/>
                <w:bCs/>
                <w:color w:val="FFFFFF" w:themeColor="background1"/>
              </w:rPr>
            </w:pPr>
            <w:r w:rsidRPr="00662CBC">
              <w:rPr>
                <w:b/>
                <w:bCs/>
                <w:color w:val="FFFFFF" w:themeColor="background1"/>
              </w:rPr>
              <w:t>L</w:t>
            </w:r>
          </w:p>
          <w:p w14:paraId="6802077C" w14:textId="77777777" w:rsidR="003168F8" w:rsidRPr="00662CBC" w:rsidRDefault="003168F8" w:rsidP="006064D6">
            <w:pPr>
              <w:jc w:val="center"/>
              <w:rPr>
                <w:b/>
                <w:bCs/>
                <w:color w:val="FFFFFF" w:themeColor="background1"/>
              </w:rPr>
            </w:pPr>
            <w:r w:rsidRPr="00662CBC">
              <w:rPr>
                <w:b/>
                <w:bCs/>
                <w:color w:val="FFFFFF" w:themeColor="background1"/>
              </w:rPr>
              <w:t>No quota for Upper House</w:t>
            </w: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B93"/>
          </w:tcPr>
          <w:p w14:paraId="30E61A8E" w14:textId="77777777" w:rsidR="003168F8" w:rsidRPr="00662CBC" w:rsidRDefault="003168F8" w:rsidP="006064D6">
            <w:pPr>
              <w:jc w:val="center"/>
              <w:rPr>
                <w:b/>
                <w:bCs/>
                <w:color w:val="FFFFFF" w:themeColor="background1"/>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tcPr>
          <w:p w14:paraId="069592C1" w14:textId="77777777" w:rsidR="003168F8" w:rsidRPr="00662CBC" w:rsidRDefault="003168F8" w:rsidP="006064D6">
            <w:pPr>
              <w:jc w:val="center"/>
              <w:rPr>
                <w:b/>
                <w:bCs/>
                <w:color w:val="FFFFFF" w:themeColor="background1"/>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9696" w:themeFill="accent3"/>
          </w:tcPr>
          <w:p w14:paraId="332BAF6F" w14:textId="77777777" w:rsidR="003168F8" w:rsidRPr="00662CBC" w:rsidRDefault="003168F8" w:rsidP="006064D6">
            <w:pPr>
              <w:jc w:val="center"/>
              <w:rPr>
                <w:b/>
                <w:bCs/>
                <w:color w:val="FFFFFF" w:themeColor="background1"/>
              </w:rPr>
            </w:pPr>
          </w:p>
        </w:tc>
        <w:tc>
          <w:tcPr>
            <w:tcW w:w="11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9696" w:themeFill="accent3"/>
          </w:tcPr>
          <w:p w14:paraId="2DF60D71" w14:textId="77777777" w:rsidR="003168F8" w:rsidRPr="00662CBC" w:rsidRDefault="003168F8" w:rsidP="006064D6">
            <w:pPr>
              <w:jc w:val="center"/>
              <w:rPr>
                <w:b/>
                <w:bCs/>
                <w:color w:val="FFFFFF" w:themeColor="background1"/>
              </w:rPr>
            </w:pPr>
          </w:p>
        </w:tc>
        <w:tc>
          <w:tcPr>
            <w:tcW w:w="9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9696" w:themeFill="accent3"/>
          </w:tcPr>
          <w:p w14:paraId="536E72E7" w14:textId="77777777" w:rsidR="003168F8" w:rsidRPr="00662CBC" w:rsidRDefault="003168F8" w:rsidP="006064D6">
            <w:pPr>
              <w:jc w:val="center"/>
              <w:rPr>
                <w:b/>
                <w:bCs/>
                <w:color w:val="FFFFFF" w:themeColor="background1"/>
              </w:rPr>
            </w:pPr>
          </w:p>
        </w:tc>
        <w:tc>
          <w:tcPr>
            <w:tcW w:w="1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98C44"/>
          </w:tcPr>
          <w:p w14:paraId="4F3AF35D" w14:textId="77777777" w:rsidR="003168F8" w:rsidRPr="00662CBC" w:rsidRDefault="003168F8" w:rsidP="006064D6">
            <w:pPr>
              <w:jc w:val="center"/>
              <w:rPr>
                <w:b/>
                <w:bCs/>
                <w:color w:val="FFFFFF" w:themeColor="background1"/>
              </w:rPr>
            </w:pPr>
          </w:p>
        </w:tc>
        <w:tc>
          <w:tcPr>
            <w:tcW w:w="1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9696" w:themeFill="accent3"/>
          </w:tcPr>
          <w:p w14:paraId="239722C2" w14:textId="77777777" w:rsidR="003168F8" w:rsidRPr="00662CBC" w:rsidRDefault="003168F8" w:rsidP="006064D6">
            <w:pPr>
              <w:jc w:val="center"/>
              <w:rPr>
                <w:b/>
                <w:bCs/>
                <w:color w:val="FFFFFF" w:themeColor="background1"/>
              </w:rPr>
            </w:pPr>
          </w:p>
        </w:tc>
        <w:tc>
          <w:tcPr>
            <w:tcW w:w="1495" w:type="dxa"/>
            <w:tcBorders>
              <w:top w:val="single" w:sz="4" w:space="0" w:color="FFFFFF" w:themeColor="background1"/>
              <w:left w:val="single" w:sz="4" w:space="0" w:color="FFFFFF" w:themeColor="background1"/>
              <w:bottom w:val="single" w:sz="4" w:space="0" w:color="FFFFFF" w:themeColor="background1"/>
              <w:right w:val="threeDEmboss" w:sz="24" w:space="0" w:color="002060"/>
            </w:tcBorders>
            <w:shd w:val="clear" w:color="auto" w:fill="098C44"/>
          </w:tcPr>
          <w:p w14:paraId="781D3C7F" w14:textId="77777777" w:rsidR="003168F8" w:rsidRPr="00662CBC" w:rsidRDefault="003168F8" w:rsidP="006064D6">
            <w:pPr>
              <w:jc w:val="center"/>
              <w:rPr>
                <w:b/>
                <w:bCs/>
                <w:color w:val="FFFFFF" w:themeColor="background1"/>
              </w:rPr>
            </w:pPr>
            <w:r w:rsidRPr="00662CBC">
              <w:rPr>
                <w:b/>
                <w:bCs/>
                <w:color w:val="FFFFFF" w:themeColor="background1"/>
              </w:rPr>
              <w:t>L</w:t>
            </w:r>
          </w:p>
          <w:p w14:paraId="14A6D40B" w14:textId="77777777" w:rsidR="003168F8" w:rsidRPr="00662CBC" w:rsidRDefault="003168F8" w:rsidP="006064D6">
            <w:pPr>
              <w:jc w:val="center"/>
              <w:rPr>
                <w:b/>
                <w:bCs/>
                <w:color w:val="FFFFFF" w:themeColor="background1"/>
              </w:rPr>
            </w:pPr>
            <w:r w:rsidRPr="00662CBC">
              <w:rPr>
                <w:b/>
                <w:bCs/>
                <w:color w:val="FFFFFF" w:themeColor="background1"/>
              </w:rPr>
              <w:t>Unclear if it applies to the public sector</w:t>
            </w:r>
          </w:p>
        </w:tc>
      </w:tr>
      <w:tr w:rsidR="003168F8" w:rsidRPr="00662CBC" w14:paraId="3DC5FC18" w14:textId="77777777" w:rsidTr="00050CEF">
        <w:tc>
          <w:tcPr>
            <w:tcW w:w="426" w:type="dxa"/>
            <w:tcBorders>
              <w:top w:val="single" w:sz="4" w:space="0" w:color="FFFFFF" w:themeColor="background1"/>
              <w:left w:val="threeDEmboss" w:sz="24" w:space="0" w:color="002060"/>
              <w:bottom w:val="single" w:sz="4" w:space="0" w:color="FFFFFF" w:themeColor="background1"/>
              <w:right w:val="single" w:sz="4" w:space="0" w:color="FFFFFF" w:themeColor="background1"/>
            </w:tcBorders>
          </w:tcPr>
          <w:p w14:paraId="1E67B87E"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1D8262" w14:textId="77777777" w:rsidR="003168F8" w:rsidRPr="00662CBC" w:rsidRDefault="003168F8" w:rsidP="006064D6">
            <w:r w:rsidRPr="00662CBC">
              <w:t>Spain</w:t>
            </w:r>
          </w:p>
        </w:tc>
        <w:tc>
          <w:tcPr>
            <w:tcW w:w="1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631F9D73" w14:textId="77777777" w:rsidR="003168F8" w:rsidRPr="00662CBC" w:rsidRDefault="003168F8" w:rsidP="006064D6">
            <w:pPr>
              <w:jc w:val="center"/>
              <w:rPr>
                <w:b/>
                <w:bCs/>
                <w:color w:val="FFFFFF" w:themeColor="background1"/>
              </w:rPr>
            </w:pPr>
          </w:p>
        </w:tc>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98C44"/>
          </w:tcPr>
          <w:p w14:paraId="4EE8394A" w14:textId="77777777" w:rsidR="003168F8" w:rsidRPr="00662CBC" w:rsidRDefault="003168F8" w:rsidP="006064D6">
            <w:pPr>
              <w:jc w:val="center"/>
              <w:rPr>
                <w:b/>
                <w:bCs/>
                <w:color w:val="FFFFFF" w:themeColor="background1"/>
              </w:rPr>
            </w:pPr>
            <w:r w:rsidRPr="00662CBC">
              <w:rPr>
                <w:b/>
                <w:bCs/>
                <w:color w:val="FFFFFF" w:themeColor="background1"/>
              </w:rPr>
              <w:t>L</w:t>
            </w: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B93"/>
          </w:tcPr>
          <w:p w14:paraId="3DEAB708" w14:textId="77777777" w:rsidR="003168F8" w:rsidRPr="00662CBC" w:rsidRDefault="003168F8" w:rsidP="006064D6">
            <w:pPr>
              <w:jc w:val="center"/>
              <w:rPr>
                <w:b/>
                <w:bCs/>
                <w:color w:val="FFFFFF" w:themeColor="background1"/>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tcPr>
          <w:p w14:paraId="707C7E01" w14:textId="77777777" w:rsidR="003168F8" w:rsidRPr="00662CBC" w:rsidRDefault="003168F8" w:rsidP="006064D6">
            <w:pPr>
              <w:jc w:val="center"/>
              <w:rPr>
                <w:b/>
                <w:bCs/>
                <w:color w:val="FFFFFF" w:themeColor="background1"/>
              </w:rPr>
            </w:pPr>
            <w:r w:rsidRPr="00662CBC">
              <w:rPr>
                <w:b/>
                <w:bCs/>
                <w:color w:val="FFFFFF" w:themeColor="background1"/>
              </w:rPr>
              <w:t>No sanction</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9696" w:themeFill="accent3"/>
          </w:tcPr>
          <w:p w14:paraId="72FACCDE" w14:textId="77777777" w:rsidR="003168F8" w:rsidRPr="00662CBC" w:rsidRDefault="003168F8" w:rsidP="006064D6">
            <w:pPr>
              <w:jc w:val="center"/>
              <w:rPr>
                <w:b/>
                <w:bCs/>
                <w:color w:val="FFFFFF" w:themeColor="background1"/>
              </w:rPr>
            </w:pPr>
          </w:p>
        </w:tc>
        <w:tc>
          <w:tcPr>
            <w:tcW w:w="11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9696" w:themeFill="accent3"/>
          </w:tcPr>
          <w:p w14:paraId="1A925F0E" w14:textId="77777777" w:rsidR="003168F8" w:rsidRPr="00662CBC" w:rsidRDefault="003168F8" w:rsidP="006064D6">
            <w:pPr>
              <w:jc w:val="center"/>
              <w:rPr>
                <w:b/>
                <w:bCs/>
                <w:color w:val="FFFFFF" w:themeColor="background1"/>
              </w:rPr>
            </w:pPr>
          </w:p>
        </w:tc>
        <w:tc>
          <w:tcPr>
            <w:tcW w:w="9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9696" w:themeFill="accent3"/>
          </w:tcPr>
          <w:p w14:paraId="7C55600B" w14:textId="77777777" w:rsidR="003168F8" w:rsidRPr="00662CBC" w:rsidRDefault="003168F8" w:rsidP="006064D6">
            <w:pPr>
              <w:jc w:val="center"/>
              <w:rPr>
                <w:b/>
                <w:bCs/>
                <w:color w:val="FFFFFF" w:themeColor="background1"/>
              </w:rPr>
            </w:pPr>
          </w:p>
        </w:tc>
        <w:tc>
          <w:tcPr>
            <w:tcW w:w="1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98C44"/>
          </w:tcPr>
          <w:p w14:paraId="72527C88" w14:textId="77777777" w:rsidR="003168F8" w:rsidRPr="00662CBC" w:rsidRDefault="003168F8" w:rsidP="006064D6">
            <w:pPr>
              <w:jc w:val="center"/>
              <w:rPr>
                <w:b/>
                <w:bCs/>
                <w:color w:val="FFFFFF" w:themeColor="background1"/>
              </w:rPr>
            </w:pPr>
          </w:p>
        </w:tc>
        <w:tc>
          <w:tcPr>
            <w:tcW w:w="1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9696" w:themeFill="accent3"/>
          </w:tcPr>
          <w:p w14:paraId="61805508" w14:textId="77777777" w:rsidR="003168F8" w:rsidRPr="00662CBC" w:rsidRDefault="003168F8" w:rsidP="006064D6">
            <w:pPr>
              <w:jc w:val="center"/>
              <w:rPr>
                <w:b/>
                <w:bCs/>
                <w:color w:val="FFFFFF" w:themeColor="background1"/>
              </w:rPr>
            </w:pPr>
          </w:p>
        </w:tc>
        <w:tc>
          <w:tcPr>
            <w:tcW w:w="1495" w:type="dxa"/>
            <w:tcBorders>
              <w:top w:val="single" w:sz="4" w:space="0" w:color="FFFFFF" w:themeColor="background1"/>
              <w:left w:val="single" w:sz="4" w:space="0" w:color="FFFFFF" w:themeColor="background1"/>
              <w:bottom w:val="single" w:sz="4" w:space="0" w:color="FFFFFF" w:themeColor="background1"/>
              <w:right w:val="threeDEmboss" w:sz="24" w:space="0" w:color="002060"/>
            </w:tcBorders>
            <w:shd w:val="clear" w:color="auto" w:fill="098C44"/>
          </w:tcPr>
          <w:p w14:paraId="134AF5D7" w14:textId="77777777" w:rsidR="003168F8" w:rsidRPr="00662CBC" w:rsidRDefault="003168F8" w:rsidP="006064D6">
            <w:pPr>
              <w:jc w:val="center"/>
              <w:rPr>
                <w:b/>
                <w:bCs/>
                <w:color w:val="FFFFFF" w:themeColor="background1"/>
              </w:rPr>
            </w:pPr>
            <w:r w:rsidRPr="00662CBC">
              <w:rPr>
                <w:b/>
                <w:bCs/>
                <w:color w:val="FFFFFF" w:themeColor="background1"/>
              </w:rPr>
              <w:t>Including woman-specific</w:t>
            </w:r>
          </w:p>
        </w:tc>
      </w:tr>
      <w:tr w:rsidR="003168F8" w:rsidRPr="00662CBC" w14:paraId="2B43C7AA" w14:textId="77777777" w:rsidTr="0061659D">
        <w:tc>
          <w:tcPr>
            <w:tcW w:w="426" w:type="dxa"/>
            <w:tcBorders>
              <w:top w:val="single" w:sz="4" w:space="0" w:color="FFFFFF" w:themeColor="background1"/>
              <w:left w:val="threeDEmboss" w:sz="24" w:space="0" w:color="002060"/>
              <w:bottom w:val="threeDEmboss" w:sz="24" w:space="0" w:color="002060"/>
              <w:right w:val="single" w:sz="4" w:space="0" w:color="FFFFFF" w:themeColor="background1"/>
            </w:tcBorders>
          </w:tcPr>
          <w:p w14:paraId="6F64E707"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single" w:sz="4" w:space="0" w:color="FFFFFF" w:themeColor="background1"/>
              <w:left w:val="single" w:sz="4" w:space="0" w:color="FFFFFF" w:themeColor="background1"/>
              <w:bottom w:val="threeDEmboss" w:sz="24" w:space="0" w:color="002060"/>
              <w:right w:val="single" w:sz="4" w:space="0" w:color="FFFFFF" w:themeColor="background1"/>
            </w:tcBorders>
          </w:tcPr>
          <w:p w14:paraId="0CFFEE3C" w14:textId="77777777" w:rsidR="003168F8" w:rsidRPr="00662CBC" w:rsidRDefault="003168F8" w:rsidP="006064D6">
            <w:r w:rsidRPr="00662CBC">
              <w:t xml:space="preserve">Sweden </w:t>
            </w:r>
          </w:p>
        </w:tc>
        <w:tc>
          <w:tcPr>
            <w:tcW w:w="1111" w:type="dxa"/>
            <w:tcBorders>
              <w:top w:val="single" w:sz="4" w:space="0" w:color="FFFFFF" w:themeColor="background1"/>
              <w:left w:val="single" w:sz="4" w:space="0" w:color="FFFFFF" w:themeColor="background1"/>
              <w:bottom w:val="threeDEmboss" w:sz="24" w:space="0" w:color="002060"/>
              <w:right w:val="single" w:sz="4" w:space="0" w:color="FFFFFF" w:themeColor="background1"/>
            </w:tcBorders>
            <w:shd w:val="clear" w:color="auto" w:fill="C00000"/>
          </w:tcPr>
          <w:p w14:paraId="51631C7B" w14:textId="77777777" w:rsidR="003168F8" w:rsidRPr="00662CBC" w:rsidRDefault="003168F8" w:rsidP="006064D6">
            <w:pPr>
              <w:jc w:val="center"/>
              <w:rPr>
                <w:b/>
                <w:bCs/>
                <w:color w:val="FFFFFF" w:themeColor="background1"/>
              </w:rPr>
            </w:pPr>
          </w:p>
        </w:tc>
        <w:tc>
          <w:tcPr>
            <w:tcW w:w="1561" w:type="dxa"/>
            <w:tcBorders>
              <w:top w:val="single" w:sz="4" w:space="0" w:color="FFFFFF" w:themeColor="background1"/>
              <w:left w:val="single" w:sz="4" w:space="0" w:color="FFFFFF" w:themeColor="background1"/>
              <w:bottom w:val="threeDEmboss" w:sz="24" w:space="0" w:color="002060"/>
              <w:right w:val="single" w:sz="4" w:space="0" w:color="FFFFFF" w:themeColor="background1"/>
            </w:tcBorders>
            <w:shd w:val="clear" w:color="auto" w:fill="C00000"/>
          </w:tcPr>
          <w:p w14:paraId="62488CB9" w14:textId="77777777" w:rsidR="003168F8" w:rsidRPr="00662CBC" w:rsidRDefault="003168F8" w:rsidP="006064D6">
            <w:pPr>
              <w:jc w:val="center"/>
              <w:rPr>
                <w:b/>
                <w:bCs/>
                <w:color w:val="FFFFFF" w:themeColor="background1"/>
              </w:rPr>
            </w:pPr>
          </w:p>
        </w:tc>
        <w:tc>
          <w:tcPr>
            <w:tcW w:w="1269" w:type="dxa"/>
            <w:tcBorders>
              <w:top w:val="single" w:sz="4" w:space="0" w:color="FFFFFF" w:themeColor="background1"/>
              <w:left w:val="single" w:sz="4" w:space="0" w:color="FFFFFF" w:themeColor="background1"/>
              <w:bottom w:val="threeDEmboss" w:sz="24" w:space="0" w:color="002060"/>
              <w:right w:val="single" w:sz="4" w:space="0" w:color="FFFFFF" w:themeColor="background1"/>
            </w:tcBorders>
            <w:shd w:val="clear" w:color="auto" w:fill="F2FB93"/>
          </w:tcPr>
          <w:p w14:paraId="144B8095" w14:textId="77777777" w:rsidR="003168F8" w:rsidRPr="00662CBC" w:rsidRDefault="003168F8" w:rsidP="006064D6">
            <w:pPr>
              <w:jc w:val="center"/>
              <w:rPr>
                <w:b/>
                <w:bCs/>
                <w:color w:val="FFFFFF" w:themeColor="background1"/>
              </w:rPr>
            </w:pPr>
          </w:p>
        </w:tc>
        <w:tc>
          <w:tcPr>
            <w:tcW w:w="0" w:type="auto"/>
            <w:tcBorders>
              <w:top w:val="single" w:sz="4" w:space="0" w:color="FFFFFF" w:themeColor="background1"/>
              <w:left w:val="single" w:sz="4" w:space="0" w:color="FFFFFF" w:themeColor="background1"/>
              <w:bottom w:val="threeDEmboss" w:sz="24" w:space="0" w:color="002060"/>
              <w:right w:val="single" w:sz="4" w:space="0" w:color="FFFFFF" w:themeColor="background1"/>
            </w:tcBorders>
            <w:shd w:val="clear" w:color="auto" w:fill="C00000"/>
          </w:tcPr>
          <w:p w14:paraId="2F9092C5" w14:textId="77777777" w:rsidR="003168F8" w:rsidRPr="00662CBC" w:rsidRDefault="003168F8" w:rsidP="006064D6">
            <w:pPr>
              <w:jc w:val="center"/>
              <w:rPr>
                <w:b/>
                <w:bCs/>
                <w:color w:val="FFFFFF" w:themeColor="background1"/>
              </w:rPr>
            </w:pPr>
          </w:p>
        </w:tc>
        <w:tc>
          <w:tcPr>
            <w:tcW w:w="1275" w:type="dxa"/>
            <w:tcBorders>
              <w:top w:val="single" w:sz="4" w:space="0" w:color="FFFFFF" w:themeColor="background1"/>
              <w:left w:val="single" w:sz="4" w:space="0" w:color="FFFFFF" w:themeColor="background1"/>
              <w:bottom w:val="threeDEmboss" w:sz="24" w:space="0" w:color="002060"/>
              <w:right w:val="single" w:sz="4" w:space="0" w:color="FFFFFF" w:themeColor="background1"/>
            </w:tcBorders>
            <w:shd w:val="clear" w:color="auto" w:fill="C00000"/>
          </w:tcPr>
          <w:p w14:paraId="585B63B6" w14:textId="77777777" w:rsidR="003168F8" w:rsidRPr="00662CBC" w:rsidRDefault="003168F8" w:rsidP="006064D6">
            <w:pPr>
              <w:jc w:val="center"/>
              <w:rPr>
                <w:b/>
                <w:bCs/>
                <w:color w:val="FFFFFF" w:themeColor="background1"/>
              </w:rPr>
            </w:pPr>
          </w:p>
        </w:tc>
        <w:tc>
          <w:tcPr>
            <w:tcW w:w="1153" w:type="dxa"/>
            <w:tcBorders>
              <w:top w:val="single" w:sz="4" w:space="0" w:color="FFFFFF" w:themeColor="background1"/>
              <w:left w:val="single" w:sz="4" w:space="0" w:color="FFFFFF" w:themeColor="background1"/>
              <w:bottom w:val="threeDEmboss" w:sz="24" w:space="0" w:color="002060"/>
              <w:right w:val="single" w:sz="4" w:space="0" w:color="FFFFFF" w:themeColor="background1"/>
            </w:tcBorders>
            <w:shd w:val="clear" w:color="auto" w:fill="969696" w:themeFill="accent3"/>
          </w:tcPr>
          <w:p w14:paraId="450D1648" w14:textId="77777777" w:rsidR="003168F8" w:rsidRPr="00662CBC" w:rsidRDefault="003168F8" w:rsidP="006064D6">
            <w:pPr>
              <w:jc w:val="center"/>
              <w:rPr>
                <w:b/>
                <w:bCs/>
                <w:color w:val="FFFFFF" w:themeColor="background1"/>
              </w:rPr>
            </w:pPr>
          </w:p>
        </w:tc>
        <w:tc>
          <w:tcPr>
            <w:tcW w:w="927" w:type="dxa"/>
            <w:tcBorders>
              <w:top w:val="single" w:sz="4" w:space="0" w:color="FFFFFF" w:themeColor="background1"/>
              <w:left w:val="single" w:sz="4" w:space="0" w:color="FFFFFF" w:themeColor="background1"/>
              <w:bottom w:val="threeDEmboss" w:sz="24" w:space="0" w:color="002060"/>
              <w:right w:val="single" w:sz="4" w:space="0" w:color="FFFFFF" w:themeColor="background1"/>
            </w:tcBorders>
            <w:shd w:val="clear" w:color="auto" w:fill="969696" w:themeFill="accent3"/>
          </w:tcPr>
          <w:p w14:paraId="221CA7D8" w14:textId="77777777" w:rsidR="003168F8" w:rsidRPr="00662CBC" w:rsidRDefault="003168F8" w:rsidP="006064D6">
            <w:pPr>
              <w:jc w:val="center"/>
              <w:rPr>
                <w:b/>
                <w:bCs/>
                <w:color w:val="FFFFFF" w:themeColor="background1"/>
              </w:rPr>
            </w:pPr>
          </w:p>
        </w:tc>
        <w:tc>
          <w:tcPr>
            <w:tcW w:w="1270" w:type="dxa"/>
            <w:tcBorders>
              <w:top w:val="single" w:sz="4" w:space="0" w:color="FFFFFF" w:themeColor="background1"/>
              <w:left w:val="single" w:sz="4" w:space="0" w:color="FFFFFF" w:themeColor="background1"/>
              <w:bottom w:val="threeDEmboss" w:sz="24" w:space="0" w:color="002060"/>
              <w:right w:val="single" w:sz="4" w:space="0" w:color="FFFFFF" w:themeColor="background1"/>
            </w:tcBorders>
            <w:shd w:val="clear" w:color="auto" w:fill="098C44"/>
          </w:tcPr>
          <w:p w14:paraId="405FBB39" w14:textId="77777777" w:rsidR="003168F8" w:rsidRPr="00662CBC" w:rsidRDefault="003168F8" w:rsidP="006064D6">
            <w:pPr>
              <w:jc w:val="center"/>
              <w:rPr>
                <w:b/>
                <w:bCs/>
                <w:color w:val="FFFFFF" w:themeColor="background1"/>
              </w:rPr>
            </w:pPr>
          </w:p>
        </w:tc>
        <w:tc>
          <w:tcPr>
            <w:tcW w:w="1795" w:type="dxa"/>
            <w:tcBorders>
              <w:top w:val="single" w:sz="4" w:space="0" w:color="FFFFFF" w:themeColor="background1"/>
              <w:left w:val="single" w:sz="4" w:space="0" w:color="FFFFFF" w:themeColor="background1"/>
              <w:bottom w:val="threeDEmboss" w:sz="24" w:space="0" w:color="002060"/>
              <w:right w:val="single" w:sz="4" w:space="0" w:color="FFFFFF" w:themeColor="background1"/>
            </w:tcBorders>
            <w:shd w:val="clear" w:color="auto" w:fill="969696" w:themeFill="accent3"/>
          </w:tcPr>
          <w:p w14:paraId="339E4490" w14:textId="77777777" w:rsidR="003168F8" w:rsidRPr="00662CBC" w:rsidRDefault="003168F8" w:rsidP="006064D6">
            <w:pPr>
              <w:jc w:val="center"/>
              <w:rPr>
                <w:b/>
                <w:bCs/>
                <w:color w:val="FFFFFF" w:themeColor="background1"/>
              </w:rPr>
            </w:pPr>
          </w:p>
        </w:tc>
        <w:tc>
          <w:tcPr>
            <w:tcW w:w="1495" w:type="dxa"/>
            <w:tcBorders>
              <w:top w:val="single" w:sz="4" w:space="0" w:color="FFFFFF" w:themeColor="background1"/>
              <w:left w:val="single" w:sz="4" w:space="0" w:color="FFFFFF" w:themeColor="background1"/>
              <w:bottom w:val="threeDEmboss" w:sz="24" w:space="0" w:color="002060"/>
              <w:right w:val="threeDEmboss" w:sz="24" w:space="0" w:color="002060"/>
            </w:tcBorders>
            <w:shd w:val="clear" w:color="auto" w:fill="C00000"/>
          </w:tcPr>
          <w:p w14:paraId="59B90D65" w14:textId="77777777" w:rsidR="003168F8" w:rsidRPr="00662CBC" w:rsidRDefault="003168F8" w:rsidP="006064D6">
            <w:pPr>
              <w:jc w:val="center"/>
              <w:rPr>
                <w:b/>
                <w:bCs/>
                <w:color w:val="FFFFFF" w:themeColor="background1"/>
              </w:rPr>
            </w:pPr>
          </w:p>
        </w:tc>
      </w:tr>
      <w:tr w:rsidR="003168F8" w:rsidRPr="00662CBC" w14:paraId="1C3DCE80" w14:textId="77777777" w:rsidTr="005B188C">
        <w:tc>
          <w:tcPr>
            <w:tcW w:w="426" w:type="dxa"/>
            <w:tcBorders>
              <w:top w:val="threeDEmboss" w:sz="24" w:space="0" w:color="002060"/>
              <w:left w:val="single" w:sz="4" w:space="0" w:color="FFFFFF" w:themeColor="background1"/>
              <w:bottom w:val="single" w:sz="4" w:space="0" w:color="FFFFFF" w:themeColor="background1"/>
              <w:right w:val="single" w:sz="4" w:space="0" w:color="FFFFFF" w:themeColor="background1"/>
            </w:tcBorders>
          </w:tcPr>
          <w:p w14:paraId="624F94C8"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threeDEmboss" w:sz="24" w:space="0" w:color="002060"/>
              <w:left w:val="single" w:sz="4" w:space="0" w:color="FFFFFF" w:themeColor="background1"/>
              <w:bottom w:val="single" w:sz="4" w:space="0" w:color="FFFFFF" w:themeColor="background1"/>
              <w:right w:val="single" w:sz="4" w:space="0" w:color="FFFFFF" w:themeColor="background1"/>
            </w:tcBorders>
          </w:tcPr>
          <w:p w14:paraId="220B9633" w14:textId="77777777" w:rsidR="003168F8" w:rsidRPr="00662CBC" w:rsidRDefault="003168F8" w:rsidP="006064D6">
            <w:r w:rsidRPr="00662CBC">
              <w:t>Switzerland</w:t>
            </w:r>
          </w:p>
        </w:tc>
        <w:tc>
          <w:tcPr>
            <w:tcW w:w="1111" w:type="dxa"/>
            <w:tcBorders>
              <w:top w:val="threeDEmboss" w:sz="24" w:space="0" w:color="002060"/>
              <w:left w:val="single" w:sz="4" w:space="0" w:color="FFFFFF" w:themeColor="background1"/>
              <w:bottom w:val="single" w:sz="4" w:space="0" w:color="FFFFFF" w:themeColor="background1"/>
              <w:right w:val="single" w:sz="4" w:space="0" w:color="FFFFFF" w:themeColor="background1"/>
            </w:tcBorders>
            <w:shd w:val="clear" w:color="auto" w:fill="C00000"/>
          </w:tcPr>
          <w:p w14:paraId="318DD854" w14:textId="77777777" w:rsidR="003168F8" w:rsidRPr="00662CBC" w:rsidRDefault="003168F8" w:rsidP="006064D6">
            <w:pPr>
              <w:jc w:val="center"/>
              <w:rPr>
                <w:b/>
                <w:bCs/>
                <w:color w:val="FFFFFF" w:themeColor="background1"/>
              </w:rPr>
            </w:pPr>
          </w:p>
        </w:tc>
        <w:tc>
          <w:tcPr>
            <w:tcW w:w="1561" w:type="dxa"/>
            <w:tcBorders>
              <w:top w:val="threeDEmboss" w:sz="24" w:space="0" w:color="002060"/>
              <w:left w:val="single" w:sz="4" w:space="0" w:color="FFFFFF" w:themeColor="background1"/>
              <w:bottom w:val="single" w:sz="4" w:space="0" w:color="FFFFFF" w:themeColor="background1"/>
              <w:right w:val="single" w:sz="4" w:space="0" w:color="FFFFFF" w:themeColor="background1"/>
            </w:tcBorders>
            <w:shd w:val="clear" w:color="auto" w:fill="C00000"/>
          </w:tcPr>
          <w:p w14:paraId="29B0D207" w14:textId="77777777" w:rsidR="003168F8" w:rsidRPr="00662CBC" w:rsidRDefault="003168F8" w:rsidP="006064D6">
            <w:pPr>
              <w:jc w:val="center"/>
              <w:rPr>
                <w:b/>
                <w:bCs/>
                <w:color w:val="FFFFFF" w:themeColor="background1"/>
              </w:rPr>
            </w:pPr>
          </w:p>
        </w:tc>
        <w:tc>
          <w:tcPr>
            <w:tcW w:w="1269" w:type="dxa"/>
            <w:tcBorders>
              <w:top w:val="threeDEmboss" w:sz="24" w:space="0" w:color="002060"/>
              <w:left w:val="single" w:sz="4" w:space="0" w:color="FFFFFF" w:themeColor="background1"/>
              <w:bottom w:val="single" w:sz="4" w:space="0" w:color="FFFFFF" w:themeColor="background1"/>
              <w:right w:val="single" w:sz="4" w:space="0" w:color="FFFFFF" w:themeColor="background1"/>
            </w:tcBorders>
            <w:shd w:val="clear" w:color="auto" w:fill="F2FB93"/>
          </w:tcPr>
          <w:p w14:paraId="7F762344" w14:textId="77777777" w:rsidR="003168F8" w:rsidRPr="00662CBC" w:rsidRDefault="003168F8" w:rsidP="006064D6">
            <w:pPr>
              <w:jc w:val="center"/>
              <w:rPr>
                <w:b/>
                <w:bCs/>
                <w:color w:val="FFFFFF" w:themeColor="background1"/>
              </w:rPr>
            </w:pPr>
          </w:p>
        </w:tc>
        <w:tc>
          <w:tcPr>
            <w:tcW w:w="0" w:type="auto"/>
            <w:tcBorders>
              <w:top w:val="threeDEmboss" w:sz="24" w:space="0" w:color="002060"/>
              <w:left w:val="single" w:sz="4" w:space="0" w:color="FFFFFF" w:themeColor="background1"/>
              <w:bottom w:val="single" w:sz="4" w:space="0" w:color="FFFFFF" w:themeColor="background1"/>
              <w:right w:val="single" w:sz="4" w:space="0" w:color="FFFFFF" w:themeColor="background1"/>
            </w:tcBorders>
            <w:shd w:val="clear" w:color="auto" w:fill="098C44"/>
          </w:tcPr>
          <w:p w14:paraId="7233E7E7" w14:textId="77777777" w:rsidR="003168F8" w:rsidRPr="00662CBC" w:rsidRDefault="003168F8" w:rsidP="006064D6">
            <w:pPr>
              <w:jc w:val="center"/>
              <w:rPr>
                <w:b/>
                <w:bCs/>
                <w:color w:val="FFFFFF" w:themeColor="background1"/>
              </w:rPr>
            </w:pPr>
            <w:r w:rsidRPr="00662CBC">
              <w:rPr>
                <w:b/>
                <w:bCs/>
                <w:color w:val="FFFFFF" w:themeColor="background1"/>
              </w:rPr>
              <w:t>L</w:t>
            </w:r>
          </w:p>
        </w:tc>
        <w:tc>
          <w:tcPr>
            <w:tcW w:w="1275" w:type="dxa"/>
            <w:tcBorders>
              <w:top w:val="threeDEmboss" w:sz="24" w:space="0" w:color="002060"/>
              <w:left w:val="single" w:sz="4" w:space="0" w:color="FFFFFF" w:themeColor="background1"/>
              <w:bottom w:val="single" w:sz="4" w:space="0" w:color="FFFFFF" w:themeColor="background1"/>
              <w:right w:val="single" w:sz="4" w:space="0" w:color="FFFFFF" w:themeColor="background1"/>
            </w:tcBorders>
            <w:shd w:val="clear" w:color="auto" w:fill="969696" w:themeFill="accent3"/>
          </w:tcPr>
          <w:p w14:paraId="4C548107" w14:textId="77777777" w:rsidR="003168F8" w:rsidRPr="00662CBC" w:rsidRDefault="003168F8" w:rsidP="006064D6">
            <w:pPr>
              <w:jc w:val="center"/>
              <w:rPr>
                <w:b/>
                <w:bCs/>
                <w:color w:val="FFFFFF" w:themeColor="background1"/>
              </w:rPr>
            </w:pPr>
          </w:p>
        </w:tc>
        <w:tc>
          <w:tcPr>
            <w:tcW w:w="1153" w:type="dxa"/>
            <w:tcBorders>
              <w:top w:val="threeDEmboss" w:sz="24" w:space="0" w:color="002060"/>
              <w:left w:val="single" w:sz="4" w:space="0" w:color="FFFFFF" w:themeColor="background1"/>
              <w:bottom w:val="single" w:sz="4" w:space="0" w:color="FFFFFF" w:themeColor="background1"/>
              <w:right w:val="single" w:sz="4" w:space="0" w:color="FFFFFF" w:themeColor="background1"/>
            </w:tcBorders>
            <w:shd w:val="clear" w:color="auto" w:fill="C00000"/>
          </w:tcPr>
          <w:p w14:paraId="60E6C9F9" w14:textId="77777777" w:rsidR="003168F8" w:rsidRPr="00662CBC" w:rsidRDefault="003168F8" w:rsidP="006064D6">
            <w:pPr>
              <w:jc w:val="center"/>
              <w:rPr>
                <w:b/>
                <w:bCs/>
                <w:color w:val="FFFFFF" w:themeColor="background1"/>
              </w:rPr>
            </w:pPr>
          </w:p>
        </w:tc>
        <w:tc>
          <w:tcPr>
            <w:tcW w:w="927" w:type="dxa"/>
            <w:tcBorders>
              <w:top w:val="threeDEmboss" w:sz="24" w:space="0" w:color="002060"/>
              <w:left w:val="single" w:sz="4" w:space="0" w:color="FFFFFF" w:themeColor="background1"/>
              <w:bottom w:val="single" w:sz="4" w:space="0" w:color="FFFFFF" w:themeColor="background1"/>
              <w:right w:val="single" w:sz="4" w:space="0" w:color="FFFFFF" w:themeColor="background1"/>
            </w:tcBorders>
            <w:shd w:val="clear" w:color="auto" w:fill="C00000"/>
          </w:tcPr>
          <w:p w14:paraId="10DF4CE5" w14:textId="77777777" w:rsidR="003168F8" w:rsidRPr="00662CBC" w:rsidRDefault="003168F8" w:rsidP="006064D6">
            <w:pPr>
              <w:jc w:val="center"/>
              <w:rPr>
                <w:b/>
                <w:bCs/>
                <w:color w:val="FFFFFF" w:themeColor="background1"/>
              </w:rPr>
            </w:pPr>
          </w:p>
        </w:tc>
        <w:tc>
          <w:tcPr>
            <w:tcW w:w="1270" w:type="dxa"/>
            <w:tcBorders>
              <w:top w:val="threeDEmboss" w:sz="24" w:space="0" w:color="002060"/>
              <w:left w:val="single" w:sz="4" w:space="0" w:color="FFFFFF" w:themeColor="background1"/>
              <w:bottom w:val="single" w:sz="4" w:space="0" w:color="FFFFFF" w:themeColor="background1"/>
              <w:right w:val="single" w:sz="4" w:space="0" w:color="FFFFFF" w:themeColor="background1"/>
            </w:tcBorders>
            <w:shd w:val="clear" w:color="auto" w:fill="098C44"/>
          </w:tcPr>
          <w:p w14:paraId="6195B532" w14:textId="77777777" w:rsidR="003168F8" w:rsidRPr="00662CBC" w:rsidRDefault="003168F8" w:rsidP="006064D6">
            <w:pPr>
              <w:jc w:val="center"/>
              <w:rPr>
                <w:b/>
                <w:bCs/>
                <w:color w:val="FFFFFF" w:themeColor="background1"/>
              </w:rPr>
            </w:pPr>
          </w:p>
        </w:tc>
        <w:tc>
          <w:tcPr>
            <w:tcW w:w="1795" w:type="dxa"/>
            <w:tcBorders>
              <w:top w:val="threeDEmboss" w:sz="24" w:space="0" w:color="002060"/>
              <w:left w:val="single" w:sz="4" w:space="0" w:color="FFFFFF" w:themeColor="background1"/>
              <w:bottom w:val="single" w:sz="4" w:space="0" w:color="FFFFFF" w:themeColor="background1"/>
              <w:right w:val="single" w:sz="4" w:space="0" w:color="FFFFFF" w:themeColor="background1"/>
            </w:tcBorders>
            <w:shd w:val="clear" w:color="auto" w:fill="969696" w:themeFill="accent3"/>
          </w:tcPr>
          <w:p w14:paraId="47552E5C" w14:textId="77777777" w:rsidR="003168F8" w:rsidRPr="00662CBC" w:rsidRDefault="003168F8" w:rsidP="006064D6">
            <w:pPr>
              <w:jc w:val="center"/>
              <w:rPr>
                <w:b/>
                <w:bCs/>
                <w:color w:val="FFFFFF" w:themeColor="background1"/>
              </w:rPr>
            </w:pPr>
          </w:p>
        </w:tc>
        <w:tc>
          <w:tcPr>
            <w:tcW w:w="1495" w:type="dxa"/>
            <w:tcBorders>
              <w:top w:val="threeDEmboss" w:sz="24" w:space="0" w:color="002060"/>
              <w:left w:val="single" w:sz="4" w:space="0" w:color="FFFFFF" w:themeColor="background1"/>
              <w:bottom w:val="single" w:sz="4" w:space="0" w:color="FFFFFF" w:themeColor="background1"/>
              <w:right w:val="single" w:sz="4" w:space="0" w:color="FFFFFF" w:themeColor="background1"/>
            </w:tcBorders>
            <w:shd w:val="clear" w:color="auto" w:fill="C00000"/>
          </w:tcPr>
          <w:p w14:paraId="29E0482E" w14:textId="77777777" w:rsidR="003168F8" w:rsidRPr="00662CBC" w:rsidRDefault="003168F8" w:rsidP="006064D6">
            <w:pPr>
              <w:jc w:val="center"/>
              <w:rPr>
                <w:b/>
                <w:bCs/>
                <w:color w:val="FFFFFF" w:themeColor="background1"/>
              </w:rPr>
            </w:pPr>
          </w:p>
        </w:tc>
      </w:tr>
      <w:tr w:rsidR="003168F8" w:rsidRPr="00662CBC" w14:paraId="033861F0" w14:textId="77777777" w:rsidTr="00FA2766">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27CA69"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8CE3AE" w14:textId="77777777" w:rsidR="003168F8" w:rsidRPr="00662CBC" w:rsidRDefault="003168F8" w:rsidP="006064D6">
            <w:r w:rsidRPr="00662CBC">
              <w:t xml:space="preserve">Türkiye </w:t>
            </w:r>
          </w:p>
        </w:tc>
        <w:tc>
          <w:tcPr>
            <w:tcW w:w="1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3F075344" w14:textId="77777777" w:rsidR="003168F8" w:rsidRPr="00662CBC" w:rsidRDefault="003168F8" w:rsidP="006064D6">
            <w:pPr>
              <w:jc w:val="center"/>
              <w:rPr>
                <w:color w:val="FFFFFF" w:themeColor="background1"/>
              </w:rPr>
            </w:pPr>
          </w:p>
        </w:tc>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1712355E" w14:textId="77777777" w:rsidR="003168F8" w:rsidRPr="00662CBC" w:rsidRDefault="003168F8" w:rsidP="006064D6">
            <w:pPr>
              <w:jc w:val="center"/>
              <w:rPr>
                <w:color w:val="FFFFFF" w:themeColor="background1"/>
              </w:rPr>
            </w:pP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B93"/>
          </w:tcPr>
          <w:p w14:paraId="30960C93" w14:textId="77777777" w:rsidR="003168F8" w:rsidRPr="00662CBC" w:rsidRDefault="003168F8" w:rsidP="006064D6"/>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076D2A70" w14:textId="77777777" w:rsidR="003168F8" w:rsidRPr="00662CBC" w:rsidRDefault="003168F8" w:rsidP="006064D6"/>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9696" w:themeFill="accent3"/>
          </w:tcPr>
          <w:p w14:paraId="0201C5A9" w14:textId="77777777" w:rsidR="003168F8" w:rsidRPr="00662CBC" w:rsidRDefault="003168F8" w:rsidP="006064D6"/>
        </w:tc>
        <w:tc>
          <w:tcPr>
            <w:tcW w:w="11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19089600" w14:textId="77777777" w:rsidR="003168F8" w:rsidRPr="00662CBC" w:rsidRDefault="003168F8" w:rsidP="006064D6">
            <w:pPr>
              <w:jc w:val="center"/>
            </w:pPr>
          </w:p>
        </w:tc>
        <w:tc>
          <w:tcPr>
            <w:tcW w:w="9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796F3AEA" w14:textId="77777777" w:rsidR="003168F8" w:rsidRPr="00662CBC" w:rsidRDefault="003168F8" w:rsidP="006064D6">
            <w:pPr>
              <w:jc w:val="center"/>
            </w:pPr>
          </w:p>
        </w:tc>
        <w:tc>
          <w:tcPr>
            <w:tcW w:w="1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3B342DB3" w14:textId="77777777" w:rsidR="003168F8" w:rsidRPr="00662CBC" w:rsidRDefault="003168F8" w:rsidP="006064D6">
            <w:pPr>
              <w:jc w:val="center"/>
            </w:pPr>
          </w:p>
        </w:tc>
        <w:tc>
          <w:tcPr>
            <w:tcW w:w="1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9696" w:themeFill="accent3"/>
          </w:tcPr>
          <w:p w14:paraId="5BCA0E42" w14:textId="77777777" w:rsidR="003168F8" w:rsidRPr="00662CBC" w:rsidRDefault="003168F8" w:rsidP="006064D6">
            <w:pPr>
              <w:jc w:val="center"/>
            </w:pPr>
          </w:p>
        </w:tc>
        <w:tc>
          <w:tcPr>
            <w:tcW w:w="14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98C44"/>
          </w:tcPr>
          <w:p w14:paraId="7191D8D5" w14:textId="77777777" w:rsidR="003168F8" w:rsidRPr="00662CBC" w:rsidRDefault="003168F8" w:rsidP="006064D6">
            <w:pPr>
              <w:jc w:val="center"/>
              <w:rPr>
                <w:b/>
                <w:bCs/>
              </w:rPr>
            </w:pPr>
            <w:r w:rsidRPr="00662CBC">
              <w:rPr>
                <w:b/>
                <w:bCs/>
                <w:color w:val="FFFFFF" w:themeColor="background1"/>
              </w:rPr>
              <w:t>L</w:t>
            </w:r>
          </w:p>
        </w:tc>
      </w:tr>
      <w:tr w:rsidR="003168F8" w:rsidRPr="00662CBC" w14:paraId="053988B9" w14:textId="77777777" w:rsidTr="00A529A9">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11DFB9"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C08424" w14:textId="77777777" w:rsidR="003168F8" w:rsidRPr="00662CBC" w:rsidRDefault="003168F8" w:rsidP="006064D6">
            <w:r w:rsidRPr="00662CBC">
              <w:t xml:space="preserve">Ukraine </w:t>
            </w:r>
          </w:p>
        </w:tc>
        <w:tc>
          <w:tcPr>
            <w:tcW w:w="1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299A31F2" w14:textId="77777777" w:rsidR="003168F8" w:rsidRPr="00662CBC" w:rsidRDefault="003168F8" w:rsidP="006064D6">
            <w:pPr>
              <w:jc w:val="center"/>
              <w:rPr>
                <w:color w:val="FFFFFF" w:themeColor="background1"/>
              </w:rPr>
            </w:pPr>
          </w:p>
        </w:tc>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98C44"/>
          </w:tcPr>
          <w:p w14:paraId="1B7AD4BA" w14:textId="77777777" w:rsidR="003168F8" w:rsidRPr="00662CBC" w:rsidRDefault="003168F8" w:rsidP="006064D6">
            <w:pPr>
              <w:jc w:val="center"/>
              <w:rPr>
                <w:b/>
                <w:bCs/>
                <w:color w:val="FFFFFF" w:themeColor="background1"/>
              </w:rPr>
            </w:pPr>
            <w:r w:rsidRPr="00662CBC">
              <w:rPr>
                <w:b/>
                <w:bCs/>
                <w:color w:val="FFFFFF" w:themeColor="background1"/>
              </w:rPr>
              <w:t>L</w:t>
            </w:r>
          </w:p>
        </w:tc>
        <w:tc>
          <w:tcPr>
            <w:tcW w:w="1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786F"/>
          </w:tcPr>
          <w:p w14:paraId="523FA5CE" w14:textId="77777777" w:rsidR="003168F8" w:rsidRPr="00662CBC" w:rsidRDefault="003168F8" w:rsidP="006064D6"/>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6EC8BF8D" w14:textId="77777777" w:rsidR="003168F8" w:rsidRPr="00662CBC" w:rsidRDefault="003168F8" w:rsidP="006064D6"/>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9696" w:themeFill="accent3"/>
          </w:tcPr>
          <w:p w14:paraId="26697DC2" w14:textId="77777777" w:rsidR="003168F8" w:rsidRPr="00662CBC" w:rsidRDefault="003168F8" w:rsidP="006064D6"/>
        </w:tc>
        <w:tc>
          <w:tcPr>
            <w:tcW w:w="11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14:paraId="380A46EE" w14:textId="77777777" w:rsidR="003168F8" w:rsidRPr="00662CBC" w:rsidRDefault="003168F8" w:rsidP="006064D6">
            <w:pPr>
              <w:jc w:val="center"/>
            </w:pPr>
          </w:p>
        </w:tc>
        <w:tc>
          <w:tcPr>
            <w:tcW w:w="9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9696" w:themeFill="accent3"/>
          </w:tcPr>
          <w:p w14:paraId="7D4FEEED" w14:textId="77777777" w:rsidR="003168F8" w:rsidRPr="00662CBC" w:rsidRDefault="003168F8" w:rsidP="006064D6">
            <w:pPr>
              <w:jc w:val="center"/>
            </w:pPr>
          </w:p>
        </w:tc>
        <w:tc>
          <w:tcPr>
            <w:tcW w:w="1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98C44"/>
          </w:tcPr>
          <w:p w14:paraId="7E8DEB76" w14:textId="77777777" w:rsidR="003168F8" w:rsidRPr="00662CBC" w:rsidRDefault="003168F8" w:rsidP="006064D6">
            <w:pPr>
              <w:jc w:val="center"/>
            </w:pPr>
          </w:p>
        </w:tc>
        <w:tc>
          <w:tcPr>
            <w:tcW w:w="1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9696" w:themeFill="accent3"/>
          </w:tcPr>
          <w:p w14:paraId="258F0754" w14:textId="77777777" w:rsidR="003168F8" w:rsidRPr="00662CBC" w:rsidRDefault="003168F8" w:rsidP="006064D6">
            <w:pPr>
              <w:jc w:val="center"/>
            </w:pPr>
          </w:p>
        </w:tc>
        <w:tc>
          <w:tcPr>
            <w:tcW w:w="14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98C44"/>
          </w:tcPr>
          <w:p w14:paraId="7B18E5EC" w14:textId="77777777" w:rsidR="003168F8" w:rsidRPr="00662CBC" w:rsidRDefault="003168F8" w:rsidP="006064D6">
            <w:pPr>
              <w:jc w:val="center"/>
              <w:rPr>
                <w:b/>
                <w:bCs/>
              </w:rPr>
            </w:pPr>
            <w:r w:rsidRPr="00662CBC">
              <w:rPr>
                <w:b/>
                <w:bCs/>
                <w:color w:val="FFFFFF" w:themeColor="background1"/>
              </w:rPr>
              <w:t>L</w:t>
            </w:r>
          </w:p>
        </w:tc>
      </w:tr>
      <w:tr w:rsidR="003168F8" w:rsidRPr="00662CBC" w14:paraId="254C3C5B" w14:textId="77777777" w:rsidTr="005C7299">
        <w:tc>
          <w:tcPr>
            <w:tcW w:w="426" w:type="dxa"/>
            <w:tcBorders>
              <w:top w:val="single" w:sz="4" w:space="0" w:color="FFFFFF" w:themeColor="background1"/>
              <w:left w:val="single" w:sz="4" w:space="0" w:color="FFFFFF" w:themeColor="background1"/>
              <w:right w:val="single" w:sz="4" w:space="0" w:color="FFFFFF" w:themeColor="background1"/>
            </w:tcBorders>
          </w:tcPr>
          <w:p w14:paraId="0B3EC999"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single" w:sz="4" w:space="0" w:color="FFFFFF" w:themeColor="background1"/>
              <w:left w:val="single" w:sz="4" w:space="0" w:color="FFFFFF" w:themeColor="background1"/>
              <w:right w:val="single" w:sz="4" w:space="0" w:color="FFFFFF" w:themeColor="background1"/>
            </w:tcBorders>
          </w:tcPr>
          <w:p w14:paraId="02C8A264" w14:textId="77777777" w:rsidR="003168F8" w:rsidRPr="00662CBC" w:rsidRDefault="003168F8" w:rsidP="006064D6">
            <w:r w:rsidRPr="00662CBC">
              <w:t>United Kingdom</w:t>
            </w:r>
          </w:p>
        </w:tc>
        <w:tc>
          <w:tcPr>
            <w:tcW w:w="1111" w:type="dxa"/>
            <w:tcBorders>
              <w:top w:val="single" w:sz="4" w:space="0" w:color="FFFFFF" w:themeColor="background1"/>
              <w:left w:val="single" w:sz="4" w:space="0" w:color="FFFFFF" w:themeColor="background1"/>
              <w:right w:val="single" w:sz="4" w:space="0" w:color="FFFFFF" w:themeColor="background1"/>
            </w:tcBorders>
            <w:shd w:val="clear" w:color="auto" w:fill="C00000"/>
          </w:tcPr>
          <w:p w14:paraId="660A8575" w14:textId="77777777" w:rsidR="003168F8" w:rsidRPr="00662CBC" w:rsidRDefault="003168F8" w:rsidP="006064D6">
            <w:pPr>
              <w:jc w:val="center"/>
              <w:rPr>
                <w:color w:val="FFFFFF" w:themeColor="background1"/>
              </w:rPr>
            </w:pPr>
          </w:p>
        </w:tc>
        <w:tc>
          <w:tcPr>
            <w:tcW w:w="1561" w:type="dxa"/>
            <w:tcBorders>
              <w:top w:val="single" w:sz="4" w:space="0" w:color="FFFFFF" w:themeColor="background1"/>
              <w:left w:val="single" w:sz="4" w:space="0" w:color="FFFFFF" w:themeColor="background1"/>
              <w:right w:val="single" w:sz="4" w:space="0" w:color="FFFFFF" w:themeColor="background1"/>
            </w:tcBorders>
            <w:shd w:val="clear" w:color="auto" w:fill="C00000"/>
          </w:tcPr>
          <w:p w14:paraId="3CAEBD03" w14:textId="77777777" w:rsidR="003168F8" w:rsidRPr="00662CBC" w:rsidRDefault="003168F8" w:rsidP="006064D6">
            <w:pPr>
              <w:jc w:val="center"/>
              <w:rPr>
                <w:color w:val="FFFFFF" w:themeColor="background1"/>
              </w:rPr>
            </w:pPr>
          </w:p>
        </w:tc>
        <w:tc>
          <w:tcPr>
            <w:tcW w:w="1269" w:type="dxa"/>
            <w:tcBorders>
              <w:top w:val="single" w:sz="4" w:space="0" w:color="FFFFFF" w:themeColor="background1"/>
              <w:left w:val="single" w:sz="4" w:space="0" w:color="FFFFFF" w:themeColor="background1"/>
              <w:right w:val="single" w:sz="4" w:space="0" w:color="FFFFFF" w:themeColor="background1"/>
            </w:tcBorders>
            <w:shd w:val="clear" w:color="auto" w:fill="F2FB93"/>
          </w:tcPr>
          <w:p w14:paraId="1695EEF7" w14:textId="77777777" w:rsidR="003168F8" w:rsidRPr="00662CBC" w:rsidRDefault="003168F8" w:rsidP="006064D6"/>
        </w:tc>
        <w:tc>
          <w:tcPr>
            <w:tcW w:w="0" w:type="auto"/>
            <w:tcBorders>
              <w:top w:val="single" w:sz="4" w:space="0" w:color="FFFFFF" w:themeColor="background1"/>
              <w:left w:val="single" w:sz="4" w:space="0" w:color="FFFFFF" w:themeColor="background1"/>
              <w:right w:val="single" w:sz="4" w:space="0" w:color="FFFFFF" w:themeColor="background1"/>
            </w:tcBorders>
            <w:shd w:val="clear" w:color="auto" w:fill="C00000"/>
          </w:tcPr>
          <w:p w14:paraId="10FD292A" w14:textId="77777777" w:rsidR="003168F8" w:rsidRPr="00662CBC" w:rsidRDefault="003168F8" w:rsidP="006064D6"/>
        </w:tc>
        <w:tc>
          <w:tcPr>
            <w:tcW w:w="1275" w:type="dxa"/>
            <w:tcBorders>
              <w:top w:val="single" w:sz="4" w:space="0" w:color="FFFFFF" w:themeColor="background1"/>
              <w:left w:val="single" w:sz="4" w:space="0" w:color="FFFFFF" w:themeColor="background1"/>
              <w:right w:val="single" w:sz="4" w:space="0" w:color="FFFFFF" w:themeColor="background1"/>
            </w:tcBorders>
            <w:shd w:val="clear" w:color="auto" w:fill="969696" w:themeFill="accent3"/>
          </w:tcPr>
          <w:p w14:paraId="5B20E2E8" w14:textId="77777777" w:rsidR="003168F8" w:rsidRPr="00662CBC" w:rsidRDefault="003168F8" w:rsidP="006064D6"/>
        </w:tc>
        <w:tc>
          <w:tcPr>
            <w:tcW w:w="1153" w:type="dxa"/>
            <w:tcBorders>
              <w:top w:val="single" w:sz="4" w:space="0" w:color="FFFFFF" w:themeColor="background1"/>
              <w:left w:val="single" w:sz="4" w:space="0" w:color="FFFFFF" w:themeColor="background1"/>
              <w:right w:val="single" w:sz="4" w:space="0" w:color="FFFFFF" w:themeColor="background1"/>
            </w:tcBorders>
            <w:shd w:val="clear" w:color="auto" w:fill="C00000"/>
          </w:tcPr>
          <w:p w14:paraId="17ADD665" w14:textId="77777777" w:rsidR="003168F8" w:rsidRPr="00662CBC" w:rsidRDefault="003168F8" w:rsidP="006064D6">
            <w:pPr>
              <w:jc w:val="center"/>
            </w:pPr>
          </w:p>
        </w:tc>
        <w:tc>
          <w:tcPr>
            <w:tcW w:w="927" w:type="dxa"/>
            <w:tcBorders>
              <w:top w:val="single" w:sz="4" w:space="0" w:color="FFFFFF" w:themeColor="background1"/>
              <w:left w:val="single" w:sz="4" w:space="0" w:color="FFFFFF" w:themeColor="background1"/>
              <w:right w:val="single" w:sz="4" w:space="0" w:color="FFFFFF" w:themeColor="background1"/>
            </w:tcBorders>
            <w:shd w:val="clear" w:color="auto" w:fill="C00000"/>
          </w:tcPr>
          <w:p w14:paraId="03069AB1" w14:textId="77777777" w:rsidR="003168F8" w:rsidRPr="00662CBC" w:rsidRDefault="003168F8" w:rsidP="006064D6">
            <w:pPr>
              <w:jc w:val="center"/>
            </w:pPr>
          </w:p>
        </w:tc>
        <w:tc>
          <w:tcPr>
            <w:tcW w:w="1270" w:type="dxa"/>
            <w:tcBorders>
              <w:top w:val="single" w:sz="4" w:space="0" w:color="FFFFFF" w:themeColor="background1"/>
              <w:left w:val="single" w:sz="4" w:space="0" w:color="FFFFFF" w:themeColor="background1"/>
              <w:right w:val="single" w:sz="4" w:space="0" w:color="FFFFFF" w:themeColor="background1"/>
            </w:tcBorders>
            <w:shd w:val="clear" w:color="auto" w:fill="098C44"/>
          </w:tcPr>
          <w:p w14:paraId="2F691C0B" w14:textId="77777777" w:rsidR="003168F8" w:rsidRPr="00662CBC" w:rsidRDefault="003168F8" w:rsidP="006064D6">
            <w:pPr>
              <w:jc w:val="center"/>
            </w:pPr>
          </w:p>
        </w:tc>
        <w:tc>
          <w:tcPr>
            <w:tcW w:w="1795" w:type="dxa"/>
            <w:tcBorders>
              <w:top w:val="single" w:sz="4" w:space="0" w:color="FFFFFF" w:themeColor="background1"/>
              <w:left w:val="single" w:sz="4" w:space="0" w:color="FFFFFF" w:themeColor="background1"/>
              <w:right w:val="single" w:sz="4" w:space="0" w:color="FFFFFF" w:themeColor="background1"/>
            </w:tcBorders>
            <w:shd w:val="clear" w:color="auto" w:fill="969696" w:themeFill="accent3"/>
          </w:tcPr>
          <w:p w14:paraId="6E659E20" w14:textId="77777777" w:rsidR="003168F8" w:rsidRPr="00662CBC" w:rsidRDefault="003168F8" w:rsidP="006064D6">
            <w:pPr>
              <w:jc w:val="center"/>
            </w:pPr>
          </w:p>
        </w:tc>
        <w:tc>
          <w:tcPr>
            <w:tcW w:w="1495" w:type="dxa"/>
            <w:tcBorders>
              <w:top w:val="single" w:sz="4" w:space="0" w:color="FFFFFF" w:themeColor="background1"/>
              <w:left w:val="single" w:sz="4" w:space="0" w:color="FFFFFF" w:themeColor="background1"/>
              <w:right w:val="single" w:sz="4" w:space="0" w:color="FFFFFF" w:themeColor="background1"/>
            </w:tcBorders>
            <w:shd w:val="clear" w:color="auto" w:fill="C00000"/>
          </w:tcPr>
          <w:p w14:paraId="4B701115" w14:textId="77777777" w:rsidR="003168F8" w:rsidRPr="00662CBC" w:rsidRDefault="003168F8" w:rsidP="006064D6">
            <w:pPr>
              <w:jc w:val="center"/>
            </w:pPr>
          </w:p>
        </w:tc>
      </w:tr>
      <w:tr w:rsidR="003168F8" w:rsidRPr="00662CBC" w14:paraId="25272D1F" w14:textId="77777777" w:rsidTr="005352C5">
        <w:trPr>
          <w:trHeight w:val="21"/>
        </w:trPr>
        <w:tc>
          <w:tcPr>
            <w:tcW w:w="426" w:type="dxa"/>
            <w:tcBorders>
              <w:top w:val="threeDEmboss" w:sz="24" w:space="0" w:color="002060"/>
              <w:left w:val="threeDEmboss" w:sz="24" w:space="0" w:color="002060"/>
              <w:bottom w:val="threeDEmboss" w:sz="24" w:space="0" w:color="002060"/>
              <w:right w:val="single" w:sz="4" w:space="0" w:color="FFFFFF" w:themeColor="background1"/>
            </w:tcBorders>
          </w:tcPr>
          <w:p w14:paraId="78B42DD8" w14:textId="77777777" w:rsidR="003168F8" w:rsidRPr="00662CBC" w:rsidRDefault="003168F8" w:rsidP="006064D6">
            <w:pPr>
              <w:pStyle w:val="ListParagraph"/>
              <w:numPr>
                <w:ilvl w:val="0"/>
                <w:numId w:val="13"/>
              </w:numPr>
              <w:spacing w:line="240" w:lineRule="auto"/>
              <w:ind w:left="0" w:right="-429" w:firstLine="0"/>
              <w:jc w:val="left"/>
            </w:pPr>
          </w:p>
        </w:tc>
        <w:tc>
          <w:tcPr>
            <w:tcW w:w="1309" w:type="dxa"/>
            <w:tcBorders>
              <w:top w:val="threeDEmboss" w:sz="24" w:space="0" w:color="002060"/>
              <w:left w:val="single" w:sz="4" w:space="0" w:color="FFFFFF" w:themeColor="background1"/>
              <w:bottom w:val="threeDEmboss" w:sz="24" w:space="0" w:color="002060"/>
              <w:right w:val="single" w:sz="4" w:space="0" w:color="FFFFFF" w:themeColor="background1"/>
            </w:tcBorders>
          </w:tcPr>
          <w:p w14:paraId="334FBFEA" w14:textId="77777777" w:rsidR="003168F8" w:rsidRPr="00662CBC" w:rsidRDefault="003168F8" w:rsidP="006064D6">
            <w:r w:rsidRPr="00662CBC">
              <w:t xml:space="preserve">European Union </w:t>
            </w:r>
          </w:p>
        </w:tc>
        <w:tc>
          <w:tcPr>
            <w:tcW w:w="1111" w:type="dxa"/>
            <w:tcBorders>
              <w:top w:val="threeDEmboss" w:sz="24" w:space="0" w:color="002060"/>
              <w:left w:val="single" w:sz="4" w:space="0" w:color="FFFFFF" w:themeColor="background1"/>
              <w:bottom w:val="threeDEmboss" w:sz="24" w:space="0" w:color="002060"/>
              <w:right w:val="single" w:sz="4" w:space="0" w:color="FFFFFF" w:themeColor="background1"/>
            </w:tcBorders>
            <w:shd w:val="clear" w:color="auto" w:fill="C00000"/>
          </w:tcPr>
          <w:p w14:paraId="15824502" w14:textId="77777777" w:rsidR="003168F8" w:rsidRPr="00662CBC" w:rsidRDefault="003168F8" w:rsidP="006064D6">
            <w:pPr>
              <w:jc w:val="center"/>
              <w:rPr>
                <w:color w:val="FFFFFF" w:themeColor="background1"/>
              </w:rPr>
            </w:pPr>
          </w:p>
        </w:tc>
        <w:tc>
          <w:tcPr>
            <w:tcW w:w="1561" w:type="dxa"/>
            <w:tcBorders>
              <w:top w:val="threeDEmboss" w:sz="24" w:space="0" w:color="002060"/>
              <w:left w:val="single" w:sz="4" w:space="0" w:color="FFFFFF" w:themeColor="background1"/>
              <w:bottom w:val="threeDEmboss" w:sz="24" w:space="0" w:color="002060"/>
              <w:right w:val="single" w:sz="4" w:space="0" w:color="FFFFFF" w:themeColor="background1"/>
            </w:tcBorders>
            <w:shd w:val="clear" w:color="auto" w:fill="C00000"/>
          </w:tcPr>
          <w:p w14:paraId="419E1EC4" w14:textId="77777777" w:rsidR="003168F8" w:rsidRPr="00662CBC" w:rsidRDefault="003168F8" w:rsidP="006064D6">
            <w:pPr>
              <w:jc w:val="center"/>
              <w:rPr>
                <w:color w:val="FFFFFF" w:themeColor="background1"/>
              </w:rPr>
            </w:pPr>
          </w:p>
        </w:tc>
        <w:tc>
          <w:tcPr>
            <w:tcW w:w="1269" w:type="dxa"/>
            <w:tcBorders>
              <w:top w:val="threeDEmboss" w:sz="24" w:space="0" w:color="002060"/>
              <w:left w:val="single" w:sz="4" w:space="0" w:color="FFFFFF" w:themeColor="background1"/>
              <w:bottom w:val="threeDEmboss" w:sz="24" w:space="0" w:color="002060"/>
              <w:right w:val="single" w:sz="4" w:space="0" w:color="FFFFFF" w:themeColor="background1"/>
            </w:tcBorders>
            <w:shd w:val="clear" w:color="auto" w:fill="F2FB93"/>
          </w:tcPr>
          <w:p w14:paraId="6A0F1227" w14:textId="77777777" w:rsidR="003168F8" w:rsidRPr="00662CBC" w:rsidRDefault="003168F8" w:rsidP="006064D6"/>
        </w:tc>
        <w:tc>
          <w:tcPr>
            <w:tcW w:w="0" w:type="auto"/>
            <w:tcBorders>
              <w:top w:val="threeDEmboss" w:sz="24" w:space="0" w:color="002060"/>
              <w:left w:val="single" w:sz="4" w:space="0" w:color="FFFFFF" w:themeColor="background1"/>
              <w:bottom w:val="threeDEmboss" w:sz="24" w:space="0" w:color="002060"/>
              <w:right w:val="single" w:sz="4" w:space="0" w:color="FFFFFF" w:themeColor="background1"/>
            </w:tcBorders>
            <w:shd w:val="clear" w:color="auto" w:fill="969696" w:themeFill="accent3"/>
          </w:tcPr>
          <w:p w14:paraId="5F3850E9" w14:textId="77777777" w:rsidR="003168F8" w:rsidRPr="00662CBC" w:rsidRDefault="003168F8" w:rsidP="006064D6">
            <w:pPr>
              <w:jc w:val="center"/>
              <w:rPr>
                <w:b/>
                <w:bCs/>
              </w:rPr>
            </w:pPr>
          </w:p>
        </w:tc>
        <w:tc>
          <w:tcPr>
            <w:tcW w:w="1275" w:type="dxa"/>
            <w:tcBorders>
              <w:top w:val="threeDEmboss" w:sz="24" w:space="0" w:color="002060"/>
              <w:left w:val="single" w:sz="4" w:space="0" w:color="FFFFFF" w:themeColor="background1"/>
              <w:bottom w:val="threeDEmboss" w:sz="24" w:space="0" w:color="002060"/>
              <w:right w:val="single" w:sz="4" w:space="0" w:color="FFFFFF" w:themeColor="background1"/>
            </w:tcBorders>
            <w:shd w:val="clear" w:color="auto" w:fill="969696" w:themeFill="accent3"/>
          </w:tcPr>
          <w:p w14:paraId="0E84E652" w14:textId="77777777" w:rsidR="003168F8" w:rsidRPr="00662CBC" w:rsidRDefault="003168F8" w:rsidP="006064D6"/>
        </w:tc>
        <w:tc>
          <w:tcPr>
            <w:tcW w:w="1153" w:type="dxa"/>
            <w:tcBorders>
              <w:top w:val="threeDEmboss" w:sz="24" w:space="0" w:color="002060"/>
              <w:left w:val="single" w:sz="4" w:space="0" w:color="FFFFFF" w:themeColor="background1"/>
              <w:bottom w:val="threeDEmboss" w:sz="24" w:space="0" w:color="002060"/>
              <w:right w:val="single" w:sz="4" w:space="0" w:color="FFFFFF" w:themeColor="background1"/>
            </w:tcBorders>
            <w:shd w:val="clear" w:color="auto" w:fill="C00000"/>
          </w:tcPr>
          <w:p w14:paraId="1B848BF1" w14:textId="77777777" w:rsidR="003168F8" w:rsidRPr="00662CBC" w:rsidRDefault="003168F8" w:rsidP="006064D6">
            <w:pPr>
              <w:jc w:val="center"/>
            </w:pPr>
          </w:p>
        </w:tc>
        <w:tc>
          <w:tcPr>
            <w:tcW w:w="927" w:type="dxa"/>
            <w:tcBorders>
              <w:top w:val="threeDEmboss" w:sz="24" w:space="0" w:color="002060"/>
              <w:left w:val="single" w:sz="4" w:space="0" w:color="FFFFFF" w:themeColor="background1"/>
              <w:bottom w:val="threeDEmboss" w:sz="24" w:space="0" w:color="002060"/>
              <w:right w:val="single" w:sz="4" w:space="0" w:color="FFFFFF" w:themeColor="background1"/>
            </w:tcBorders>
            <w:shd w:val="clear" w:color="auto" w:fill="C00000"/>
          </w:tcPr>
          <w:p w14:paraId="46F96036" w14:textId="250FE81A" w:rsidR="003168F8" w:rsidRPr="00662CBC" w:rsidRDefault="005352C5" w:rsidP="006064D6">
            <w:pPr>
              <w:jc w:val="center"/>
            </w:pPr>
            <w:r>
              <w:t>No armed forces</w:t>
            </w:r>
          </w:p>
        </w:tc>
        <w:tc>
          <w:tcPr>
            <w:tcW w:w="1270" w:type="dxa"/>
            <w:tcBorders>
              <w:top w:val="threeDEmboss" w:sz="24" w:space="0" w:color="002060"/>
              <w:left w:val="single" w:sz="4" w:space="0" w:color="FFFFFF" w:themeColor="background1"/>
              <w:bottom w:val="threeDEmboss" w:sz="24" w:space="0" w:color="002060"/>
              <w:right w:val="single" w:sz="4" w:space="0" w:color="FFFFFF" w:themeColor="background1"/>
            </w:tcBorders>
            <w:shd w:val="clear" w:color="auto" w:fill="098C44"/>
          </w:tcPr>
          <w:p w14:paraId="67ECD247" w14:textId="77777777" w:rsidR="003168F8" w:rsidRPr="00662CBC" w:rsidRDefault="003168F8" w:rsidP="006064D6">
            <w:pPr>
              <w:jc w:val="center"/>
            </w:pPr>
          </w:p>
        </w:tc>
        <w:tc>
          <w:tcPr>
            <w:tcW w:w="1795" w:type="dxa"/>
            <w:tcBorders>
              <w:top w:val="threeDEmboss" w:sz="24" w:space="0" w:color="002060"/>
              <w:left w:val="single" w:sz="4" w:space="0" w:color="FFFFFF" w:themeColor="background1"/>
              <w:bottom w:val="threeDEmboss" w:sz="24" w:space="0" w:color="002060"/>
              <w:right w:val="single" w:sz="4" w:space="0" w:color="FFFFFF" w:themeColor="background1"/>
            </w:tcBorders>
            <w:shd w:val="clear" w:color="auto" w:fill="969696" w:themeFill="accent3"/>
          </w:tcPr>
          <w:p w14:paraId="034BE5C2" w14:textId="77777777" w:rsidR="003168F8" w:rsidRPr="00662CBC" w:rsidRDefault="003168F8" w:rsidP="006064D6">
            <w:pPr>
              <w:jc w:val="center"/>
            </w:pPr>
          </w:p>
        </w:tc>
        <w:tc>
          <w:tcPr>
            <w:tcW w:w="1495" w:type="dxa"/>
            <w:tcBorders>
              <w:top w:val="threeDEmboss" w:sz="24" w:space="0" w:color="002060"/>
              <w:left w:val="single" w:sz="4" w:space="0" w:color="FFFFFF" w:themeColor="background1"/>
              <w:bottom w:val="threeDEmboss" w:sz="24" w:space="0" w:color="002060"/>
              <w:right w:val="threeDEmboss" w:sz="24" w:space="0" w:color="002060"/>
            </w:tcBorders>
            <w:shd w:val="clear" w:color="auto" w:fill="969696" w:themeFill="accent3"/>
          </w:tcPr>
          <w:p w14:paraId="11B9EF8A" w14:textId="77777777" w:rsidR="003168F8" w:rsidRPr="00662CBC" w:rsidRDefault="003168F8" w:rsidP="006064D6">
            <w:pPr>
              <w:jc w:val="center"/>
            </w:pPr>
          </w:p>
        </w:tc>
      </w:tr>
    </w:tbl>
    <w:p w14:paraId="2FC92297" w14:textId="77777777" w:rsidR="003168F8" w:rsidRPr="00662CBC" w:rsidRDefault="003168F8" w:rsidP="003168F8">
      <w:pPr>
        <w:spacing w:before="0" w:after="200"/>
        <w:jc w:val="left"/>
        <w:rPr>
          <w:caps/>
          <w:color w:val="595959" w:themeColor="accent2" w:themeShade="80"/>
          <w:spacing w:val="20"/>
          <w:sz w:val="28"/>
          <w:szCs w:val="28"/>
        </w:rPr>
      </w:pPr>
      <w:r w:rsidRPr="00662CBC">
        <w:br w:type="page"/>
      </w:r>
    </w:p>
    <w:p w14:paraId="5240CACE" w14:textId="77777777" w:rsidR="003168F8" w:rsidRPr="00662CBC" w:rsidRDefault="003168F8" w:rsidP="003168F8">
      <w:pPr>
        <w:pStyle w:val="Heading1"/>
      </w:pPr>
      <w:bookmarkStart w:id="4" w:name="_Toc132806688"/>
      <w:r w:rsidRPr="00662CBC">
        <w:lastRenderedPageBreak/>
        <w:t>ApPendix II</w:t>
      </w:r>
      <w:bookmarkEnd w:id="4"/>
    </w:p>
    <w:p w14:paraId="1AB11369" w14:textId="77777777" w:rsidR="003168F8" w:rsidRPr="00662CBC" w:rsidRDefault="003168F8" w:rsidP="003168F8">
      <w:pPr>
        <w:spacing w:after="0" w:line="240" w:lineRule="auto"/>
        <w:rPr>
          <w:rFonts w:eastAsia="Times New Roman" w:cs="Times New Roman"/>
          <w:szCs w:val="24"/>
          <w:lang w:eastAsia="en-GB" w:bidi="he-IL"/>
        </w:rPr>
      </w:pPr>
    </w:p>
    <w:tbl>
      <w:tblPr>
        <w:tblStyle w:val="TableGrid"/>
        <w:tblW w:w="5385" w:type="pct"/>
        <w:tblInd w:w="-714" w:type="dxa"/>
        <w:tblLook w:val="04A0" w:firstRow="1" w:lastRow="0" w:firstColumn="1" w:lastColumn="0" w:noHBand="0" w:noVBand="1"/>
      </w:tblPr>
      <w:tblGrid>
        <w:gridCol w:w="437"/>
        <w:gridCol w:w="1424"/>
        <w:gridCol w:w="2681"/>
        <w:gridCol w:w="3208"/>
        <w:gridCol w:w="2832"/>
        <w:gridCol w:w="2976"/>
        <w:gridCol w:w="2123"/>
      </w:tblGrid>
      <w:tr w:rsidR="005A7203" w:rsidRPr="00662CBC" w14:paraId="23E070D6" w14:textId="77777777" w:rsidTr="00F37D6B">
        <w:trPr>
          <w:tblHeader/>
        </w:trPr>
        <w:tc>
          <w:tcPr>
            <w:tcW w:w="139" w:type="pct"/>
            <w:shd w:val="clear" w:color="auto" w:fill="000000" w:themeFill="text1"/>
          </w:tcPr>
          <w:p w14:paraId="16425D11" w14:textId="77777777" w:rsidR="004116DF" w:rsidRPr="00662CBC" w:rsidRDefault="004116DF" w:rsidP="006064D6">
            <w:pPr>
              <w:ind w:left="306" w:right="-475" w:hanging="306"/>
              <w:jc w:val="left"/>
              <w:rPr>
                <w:b/>
                <w:bCs/>
                <w:szCs w:val="20"/>
              </w:rPr>
            </w:pPr>
          </w:p>
        </w:tc>
        <w:tc>
          <w:tcPr>
            <w:tcW w:w="454" w:type="pct"/>
            <w:shd w:val="clear" w:color="auto" w:fill="000000" w:themeFill="text1"/>
          </w:tcPr>
          <w:p w14:paraId="0AF91851" w14:textId="77777777" w:rsidR="004116DF" w:rsidRPr="00662CBC" w:rsidRDefault="004116DF" w:rsidP="006064D6">
            <w:pPr>
              <w:jc w:val="center"/>
              <w:rPr>
                <w:b/>
                <w:bCs/>
                <w:szCs w:val="20"/>
              </w:rPr>
            </w:pPr>
            <w:r w:rsidRPr="00662CBC">
              <w:rPr>
                <w:b/>
                <w:bCs/>
                <w:szCs w:val="20"/>
              </w:rPr>
              <w:t>Name of Country</w:t>
            </w:r>
          </w:p>
        </w:tc>
        <w:tc>
          <w:tcPr>
            <w:tcW w:w="855" w:type="pct"/>
            <w:shd w:val="clear" w:color="auto" w:fill="000000" w:themeFill="text1"/>
          </w:tcPr>
          <w:p w14:paraId="1DA06D07" w14:textId="3B8B3A4A" w:rsidR="004116DF" w:rsidRPr="00662CBC" w:rsidRDefault="004116DF" w:rsidP="00225852">
            <w:pPr>
              <w:jc w:val="center"/>
              <w:rPr>
                <w:szCs w:val="20"/>
              </w:rPr>
            </w:pPr>
            <w:r w:rsidRPr="00662CBC">
              <w:rPr>
                <w:b/>
                <w:bCs/>
                <w:szCs w:val="20"/>
              </w:rPr>
              <w:t>Climate — Nationally determined contributions</w:t>
            </w:r>
            <w:r w:rsidRPr="00662CBC">
              <w:rPr>
                <w:szCs w:val="20"/>
              </w:rPr>
              <w:t xml:space="preserve"> (do these NDCs mention gender?) </w:t>
            </w:r>
          </w:p>
        </w:tc>
        <w:tc>
          <w:tcPr>
            <w:tcW w:w="1023" w:type="pct"/>
            <w:shd w:val="clear" w:color="auto" w:fill="000000" w:themeFill="text1"/>
          </w:tcPr>
          <w:p w14:paraId="0DD51626" w14:textId="02331D8F" w:rsidR="004116DF" w:rsidRPr="00662CBC" w:rsidRDefault="004116DF" w:rsidP="006064D6">
            <w:pPr>
              <w:jc w:val="center"/>
              <w:rPr>
                <w:b/>
                <w:bCs/>
                <w:szCs w:val="20"/>
              </w:rPr>
            </w:pPr>
            <w:r w:rsidRPr="00662CBC">
              <w:rPr>
                <w:b/>
                <w:bCs/>
                <w:szCs w:val="20"/>
              </w:rPr>
              <w:t xml:space="preserve">Quota </w:t>
            </w:r>
            <w:r w:rsidR="000F3550">
              <w:rPr>
                <w:b/>
                <w:bCs/>
                <w:szCs w:val="20"/>
              </w:rPr>
              <w:t>for</w:t>
            </w:r>
            <w:r w:rsidRPr="00662CBC">
              <w:rPr>
                <w:b/>
                <w:bCs/>
                <w:szCs w:val="20"/>
              </w:rPr>
              <w:t xml:space="preserve"> Foreign Service</w:t>
            </w:r>
            <w:r w:rsidR="000F3550">
              <w:rPr>
                <w:b/>
                <w:bCs/>
                <w:szCs w:val="20"/>
              </w:rPr>
              <w:t xml:space="preserve"> senior management</w:t>
            </w:r>
            <w:r w:rsidRPr="00662CBC">
              <w:rPr>
                <w:b/>
                <w:bCs/>
                <w:szCs w:val="20"/>
              </w:rPr>
              <w:t xml:space="preserve"> </w:t>
            </w:r>
          </w:p>
        </w:tc>
        <w:tc>
          <w:tcPr>
            <w:tcW w:w="903" w:type="pct"/>
            <w:shd w:val="clear" w:color="auto" w:fill="000000" w:themeFill="text1"/>
          </w:tcPr>
          <w:p w14:paraId="42BF593D" w14:textId="4578BBFF" w:rsidR="004116DF" w:rsidRPr="00662CBC" w:rsidRDefault="004116DF" w:rsidP="006064D6">
            <w:pPr>
              <w:jc w:val="center"/>
              <w:rPr>
                <w:b/>
                <w:bCs/>
                <w:szCs w:val="20"/>
              </w:rPr>
            </w:pPr>
            <w:r w:rsidRPr="00662CBC">
              <w:rPr>
                <w:b/>
                <w:bCs/>
                <w:szCs w:val="20"/>
              </w:rPr>
              <w:t>Quota in Security</w:t>
            </w:r>
            <w:r w:rsidR="000F3550">
              <w:rPr>
                <w:b/>
                <w:bCs/>
                <w:szCs w:val="20"/>
              </w:rPr>
              <w:t xml:space="preserve"> Leadership</w:t>
            </w:r>
          </w:p>
          <w:p w14:paraId="41CF6428" w14:textId="77777777" w:rsidR="004116DF" w:rsidRPr="00662CBC" w:rsidRDefault="004116DF" w:rsidP="006064D6">
            <w:pPr>
              <w:jc w:val="center"/>
              <w:rPr>
                <w:szCs w:val="20"/>
              </w:rPr>
            </w:pPr>
            <w:r w:rsidRPr="00662CBC">
              <w:rPr>
                <w:szCs w:val="20"/>
              </w:rPr>
              <w:t>(</w:t>
            </w:r>
            <w:proofErr w:type="gramStart"/>
            <w:r w:rsidRPr="00662CBC">
              <w:rPr>
                <w:szCs w:val="20"/>
              </w:rPr>
              <w:t>military</w:t>
            </w:r>
            <w:proofErr w:type="gramEnd"/>
            <w:r w:rsidRPr="00662CBC">
              <w:rPr>
                <w:szCs w:val="20"/>
              </w:rPr>
              <w:t>, police, and peacekeeping missions)</w:t>
            </w:r>
          </w:p>
        </w:tc>
        <w:tc>
          <w:tcPr>
            <w:tcW w:w="949" w:type="pct"/>
            <w:shd w:val="clear" w:color="auto" w:fill="000000" w:themeFill="text1"/>
          </w:tcPr>
          <w:p w14:paraId="0D3A52D8" w14:textId="44F3CDD1" w:rsidR="004116DF" w:rsidRPr="00662CBC" w:rsidRDefault="004116DF" w:rsidP="006064D6">
            <w:pPr>
              <w:jc w:val="center"/>
              <w:rPr>
                <w:b/>
                <w:bCs/>
                <w:szCs w:val="20"/>
              </w:rPr>
            </w:pPr>
            <w:r w:rsidRPr="00662CBC">
              <w:rPr>
                <w:b/>
                <w:bCs/>
                <w:szCs w:val="20"/>
              </w:rPr>
              <w:t xml:space="preserve">Mandatory military service </w:t>
            </w:r>
          </w:p>
        </w:tc>
        <w:tc>
          <w:tcPr>
            <w:tcW w:w="677" w:type="pct"/>
            <w:shd w:val="clear" w:color="auto" w:fill="000000" w:themeFill="text1"/>
          </w:tcPr>
          <w:p w14:paraId="4C423B0E" w14:textId="7520FA96" w:rsidR="004116DF" w:rsidRPr="00662CBC" w:rsidRDefault="004116DF" w:rsidP="006064D6">
            <w:pPr>
              <w:jc w:val="center"/>
              <w:rPr>
                <w:b/>
                <w:bCs/>
                <w:szCs w:val="20"/>
              </w:rPr>
            </w:pPr>
            <w:r w:rsidRPr="00662CBC">
              <w:rPr>
                <w:b/>
                <w:bCs/>
                <w:szCs w:val="20"/>
              </w:rPr>
              <w:t xml:space="preserve">WPS National Action Plan </w:t>
            </w:r>
          </w:p>
        </w:tc>
      </w:tr>
      <w:tr w:rsidR="005A7203" w:rsidRPr="00662CBC" w14:paraId="19419C58" w14:textId="77777777" w:rsidTr="00F37D6B">
        <w:tc>
          <w:tcPr>
            <w:tcW w:w="139" w:type="pct"/>
            <w:shd w:val="clear" w:color="auto" w:fill="auto"/>
          </w:tcPr>
          <w:p w14:paraId="74559908"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12DCB933" w14:textId="77777777" w:rsidR="004116DF" w:rsidRPr="00662CBC" w:rsidRDefault="004116DF" w:rsidP="006064D6">
            <w:pPr>
              <w:pStyle w:val="Heading3"/>
              <w:rPr>
                <w:szCs w:val="20"/>
              </w:rPr>
            </w:pPr>
            <w:bookmarkStart w:id="5" w:name="_Toc132806689"/>
            <w:r w:rsidRPr="00662CBC">
              <w:rPr>
                <w:szCs w:val="20"/>
              </w:rPr>
              <w:t>Albania</w:t>
            </w:r>
            <w:bookmarkEnd w:id="5"/>
          </w:p>
          <w:p w14:paraId="38B9A595" w14:textId="77777777" w:rsidR="004116DF" w:rsidRPr="00662CBC" w:rsidRDefault="004116DF" w:rsidP="006064D6">
            <w:pPr>
              <w:rPr>
                <w:b/>
                <w:bCs/>
                <w:szCs w:val="20"/>
              </w:rPr>
            </w:pPr>
          </w:p>
        </w:tc>
        <w:tc>
          <w:tcPr>
            <w:tcW w:w="855" w:type="pct"/>
            <w:shd w:val="clear" w:color="auto" w:fill="auto"/>
          </w:tcPr>
          <w:p w14:paraId="026A4137" w14:textId="77777777" w:rsidR="004056D6" w:rsidRDefault="004116DF" w:rsidP="000D17F7">
            <w:pPr>
              <w:rPr>
                <w:b/>
                <w:bCs/>
              </w:rPr>
            </w:pPr>
            <w:r w:rsidRPr="00662CBC">
              <w:rPr>
                <w:b/>
                <w:bCs/>
              </w:rPr>
              <w:t>NDC</w:t>
            </w:r>
            <w:r w:rsidR="004056D6">
              <w:rPr>
                <w:b/>
                <w:bCs/>
              </w:rPr>
              <w:t>:</w:t>
            </w:r>
          </w:p>
          <w:p w14:paraId="2B53B828" w14:textId="19EBB422" w:rsidR="004116DF" w:rsidRPr="00662CBC" w:rsidRDefault="004116DF" w:rsidP="000D17F7">
            <w:r w:rsidRPr="00662CBC">
              <w:t>mention gender and “very high” priority to include women</w:t>
            </w:r>
            <w:r w:rsidRPr="005D2F5A">
              <w:rPr>
                <w:rStyle w:val="FootnoteReference"/>
              </w:rPr>
              <w:footnoteReference w:id="8"/>
            </w:r>
          </w:p>
          <w:p w14:paraId="6B264CEE" w14:textId="6E793C68" w:rsidR="004116DF" w:rsidRPr="00662CBC" w:rsidRDefault="004116DF" w:rsidP="000D17F7">
            <w:r w:rsidRPr="00662CBC">
              <w:rPr>
                <w:b/>
                <w:bCs/>
              </w:rPr>
              <w:t>Participation of women in climate leadership</w:t>
            </w:r>
            <w:r w:rsidRPr="00662CBC">
              <w:t>:</w:t>
            </w:r>
          </w:p>
          <w:p w14:paraId="34A4D881" w14:textId="308290C9" w:rsidR="004116DF" w:rsidRDefault="004116DF" w:rsidP="004056D6">
            <w:r w:rsidRPr="00662CBC">
              <w:t>“The limited presence of women in key decision-making spheres is also a barrier to progress on this issue.”</w:t>
            </w:r>
            <w:r w:rsidRPr="00662CBC">
              <w:rPr>
                <w:rStyle w:val="FootnoteReference"/>
              </w:rPr>
              <w:t xml:space="preserve"> </w:t>
            </w:r>
            <w:r w:rsidRPr="005D2F5A">
              <w:rPr>
                <w:rStyle w:val="FootnoteReference"/>
              </w:rPr>
              <w:footnoteReference w:id="9"/>
            </w:r>
          </w:p>
          <w:p w14:paraId="45FF8B00" w14:textId="77777777" w:rsidR="004056D6" w:rsidRPr="00662CBC" w:rsidRDefault="004056D6" w:rsidP="004056D6"/>
          <w:p w14:paraId="39902B48" w14:textId="344ACEBC" w:rsidR="004116DF" w:rsidRPr="00662CBC" w:rsidRDefault="004056D6" w:rsidP="000D17F7">
            <w:proofErr w:type="spellStart"/>
            <w:proofErr w:type="gramStart"/>
            <w:r>
              <w:rPr>
                <w:b/>
                <w:bCs/>
              </w:rPr>
              <w:t>Note:</w:t>
            </w:r>
            <w:r w:rsidR="004116DF" w:rsidRPr="00662CBC">
              <w:t>“</w:t>
            </w:r>
            <w:proofErr w:type="gramEnd"/>
            <w:r w:rsidR="004116DF" w:rsidRPr="00662CBC">
              <w:t>According</w:t>
            </w:r>
            <w:proofErr w:type="spellEnd"/>
            <w:r w:rsidR="004116DF" w:rsidRPr="00662CBC">
              <w:t xml:space="preserve"> to a survey conducted for the Fourth National Communication (4NC), 39% of respondents believe there are differences in men’s and women’s ability to react to climate change, and among </w:t>
            </w:r>
            <w:r w:rsidR="004116DF" w:rsidRPr="00662CBC">
              <w:lastRenderedPageBreak/>
              <w:t>them, 53% believe men are more able to address climate change challenges.”</w:t>
            </w:r>
            <w:r w:rsidR="004116DF" w:rsidRPr="00662CBC">
              <w:rPr>
                <w:rStyle w:val="FootnoteReference"/>
              </w:rPr>
              <w:t xml:space="preserve"> </w:t>
            </w:r>
            <w:r w:rsidR="004116DF" w:rsidRPr="005D2F5A">
              <w:rPr>
                <w:rStyle w:val="FootnoteReference"/>
              </w:rPr>
              <w:footnoteReference w:id="10"/>
            </w:r>
          </w:p>
          <w:p w14:paraId="788B2A66" w14:textId="5E570D4B" w:rsidR="004116DF" w:rsidRPr="00662CBC" w:rsidRDefault="004116DF" w:rsidP="000D17F7"/>
          <w:p w14:paraId="395F24C1" w14:textId="1F622EA3" w:rsidR="004116DF" w:rsidRPr="00662CBC" w:rsidRDefault="004116DF" w:rsidP="000D17F7"/>
        </w:tc>
        <w:tc>
          <w:tcPr>
            <w:tcW w:w="1023" w:type="pct"/>
            <w:shd w:val="clear" w:color="auto" w:fill="auto"/>
          </w:tcPr>
          <w:p w14:paraId="5F94ABCB" w14:textId="74E9689C" w:rsidR="004116DF" w:rsidRPr="009A1CC7" w:rsidRDefault="00000000" w:rsidP="009A1CC7">
            <w:pPr>
              <w:rPr>
                <w:b/>
                <w:bCs/>
                <w:szCs w:val="20"/>
              </w:rPr>
            </w:pPr>
            <w:hyperlink r:id="rId9" w:anchor="page=2" w:history="1">
              <w:r w:rsidR="004116DF" w:rsidRPr="009A1CC7">
                <w:rPr>
                  <w:rStyle w:val="Hyperlink"/>
                  <w:b/>
                  <w:bCs/>
                  <w:szCs w:val="20"/>
                </w:rPr>
                <w:t>Gender Equality in Society Act, art. 4</w:t>
              </w:r>
            </w:hyperlink>
            <w:r w:rsidR="004116DF" w:rsidRPr="009A1CC7">
              <w:rPr>
                <w:b/>
                <w:bCs/>
                <w:szCs w:val="20"/>
              </w:rPr>
              <w:t>:</w:t>
            </w:r>
          </w:p>
          <w:p w14:paraId="658F8720" w14:textId="77777777" w:rsidR="004116DF" w:rsidRPr="00662CBC" w:rsidRDefault="004116DF" w:rsidP="006064D6">
            <w:r w:rsidRPr="00662CBC">
              <w:t>“5. There shall be “equal gender representation” in cases when neither of the genders is represented by less than 30% in any institution, hierarchical instance, nominated body, political parties.”</w:t>
            </w:r>
            <w:r w:rsidRPr="005D2F5A">
              <w:rPr>
                <w:rStyle w:val="FootnoteReference"/>
              </w:rPr>
              <w:footnoteReference w:id="11"/>
            </w:r>
          </w:p>
          <w:p w14:paraId="4EAE960B" w14:textId="77777777" w:rsidR="004116DF" w:rsidRPr="00662CBC" w:rsidRDefault="004116DF" w:rsidP="006064D6">
            <w:pPr>
              <w:jc w:val="left"/>
            </w:pPr>
            <w:r w:rsidRPr="00662CBC">
              <w:rPr>
                <w:b/>
                <w:bCs/>
              </w:rPr>
              <w:t>“art. 15</w:t>
            </w:r>
            <w:r w:rsidRPr="00662CBC">
              <w:br/>
              <w:t xml:space="preserve">1. Equal gender participation and representation in all legislative, executive, judicial power bodies as well as in other public institutions shall be achieved when: </w:t>
            </w:r>
            <w:r w:rsidRPr="00662CBC">
              <w:br/>
              <w:t xml:space="preserve">a) A representation of above 30% of both sexes is ensured, including their steering bodies is ensured; </w:t>
            </w:r>
            <w:r w:rsidRPr="00662CBC">
              <w:br/>
              <w:t xml:space="preserve">b) Equal observation of competition procedures and criteria for both </w:t>
            </w:r>
            <w:r w:rsidRPr="00662CBC">
              <w:lastRenderedPageBreak/>
              <w:t>genders for the assignments in these bodies is ensured;”</w:t>
            </w:r>
            <w:r w:rsidRPr="005D2F5A">
              <w:rPr>
                <w:rStyle w:val="FootnoteReference"/>
              </w:rPr>
              <w:footnoteReference w:id="12"/>
            </w:r>
          </w:p>
          <w:p w14:paraId="2EA66F30" w14:textId="77777777" w:rsidR="004116DF" w:rsidRPr="00662CBC" w:rsidRDefault="004116DF" w:rsidP="006064D6">
            <w:pPr>
              <w:jc w:val="left"/>
              <w:rPr>
                <w:b/>
                <w:bCs/>
              </w:rPr>
            </w:pPr>
          </w:p>
          <w:p w14:paraId="6C52FCDE" w14:textId="77777777" w:rsidR="004116DF" w:rsidRPr="00662CBC" w:rsidRDefault="004116DF" w:rsidP="006064D6">
            <w:pPr>
              <w:jc w:val="left"/>
              <w:rPr>
                <w:b/>
                <w:bCs/>
              </w:rPr>
            </w:pPr>
            <w:r w:rsidRPr="00662CBC">
              <w:rPr>
                <w:b/>
                <w:bCs/>
              </w:rPr>
              <w:t>NAP</w:t>
            </w:r>
          </w:p>
          <w:p w14:paraId="4E3FC48B" w14:textId="48F8DE4B" w:rsidR="004116DF" w:rsidRPr="00662CBC" w:rsidRDefault="004116DF" w:rsidP="006064D6">
            <w:pPr>
              <w:jc w:val="left"/>
              <w:rPr>
                <w:b/>
                <w:bCs/>
              </w:rPr>
            </w:pPr>
            <w:r w:rsidRPr="00662CBC">
              <w:rPr>
                <w:b/>
                <w:bCs/>
                <w:i/>
                <w:iCs/>
              </w:rPr>
              <w:t>“Objective 2.2: Increase representation of women in decision-making activities and processes related to the preservation of security and peace</w:t>
            </w:r>
            <w:r w:rsidRPr="00662CBC">
              <w:rPr>
                <w:b/>
                <w:bCs/>
                <w:i/>
                <w:iCs/>
              </w:rPr>
              <w:br/>
            </w:r>
            <w:r w:rsidRPr="00662CBC">
              <w:t>Measures:</w:t>
            </w:r>
            <w:r w:rsidRPr="00662CBC">
              <w:br/>
              <w:t>1. Increase the number of women as military attaches at diplomatic representations and embassies of the Republic of Albania and international organizations addressing international security issues</w:t>
            </w:r>
            <w:r w:rsidRPr="00662CBC">
              <w:br/>
              <w:t xml:space="preserve">- Institutions: </w:t>
            </w:r>
            <w:proofErr w:type="spellStart"/>
            <w:r w:rsidRPr="00662CBC">
              <w:t>MoEFA</w:t>
            </w:r>
            <w:proofErr w:type="spellEnd"/>
            <w:r w:rsidRPr="00662CBC">
              <w:t xml:space="preserve">, </w:t>
            </w:r>
            <w:proofErr w:type="spellStart"/>
            <w:r w:rsidRPr="00662CBC">
              <w:t>MoIA</w:t>
            </w:r>
            <w:proofErr w:type="spellEnd"/>
            <w:r w:rsidRPr="00662CBC">
              <w:t xml:space="preserve"> and MoD</w:t>
            </w:r>
            <w:r w:rsidRPr="00662CBC">
              <w:br/>
              <w:t>- Deadline: 2018-2020</w:t>
            </w:r>
            <w:r w:rsidRPr="00662CBC">
              <w:br/>
              <w:t>2. Increase the number of high-level diplomatic women as Ambassadors at permanent missions and embassies of the Republic of Albania and international organizations addressing international security issues</w:t>
            </w:r>
            <w:r w:rsidRPr="00662CBC">
              <w:br/>
              <w:t xml:space="preserve">- Institutions: </w:t>
            </w:r>
            <w:proofErr w:type="spellStart"/>
            <w:r w:rsidRPr="00662CBC">
              <w:t>MoEFA</w:t>
            </w:r>
            <w:proofErr w:type="spellEnd"/>
            <w:r w:rsidRPr="00662CBC">
              <w:br/>
              <w:t>- Deadline: 2018-2020</w:t>
            </w:r>
            <w:r w:rsidRPr="00662CBC">
              <w:br/>
              <w:t xml:space="preserve">3. Appoint or assign women to </w:t>
            </w:r>
            <w:r w:rsidRPr="00662CBC">
              <w:lastRenderedPageBreak/>
              <w:t>leading positions in international organizations addressing security issues</w:t>
            </w:r>
            <w:r w:rsidRPr="00662CBC">
              <w:br/>
              <w:t xml:space="preserve">- Institutions: </w:t>
            </w:r>
            <w:proofErr w:type="spellStart"/>
            <w:r w:rsidRPr="00662CBC">
              <w:t>MoEFA</w:t>
            </w:r>
            <w:proofErr w:type="spellEnd"/>
            <w:r w:rsidRPr="00662CBC">
              <w:t xml:space="preserve"> and MoD</w:t>
            </w:r>
            <w:r w:rsidRPr="00662CBC">
              <w:br/>
              <w:t>- Deadline: 2018-2020</w:t>
            </w:r>
            <w:r w:rsidRPr="00662CBC">
              <w:br/>
              <w:t>[…</w:t>
            </w:r>
            <w:proofErr w:type="gramStart"/>
            <w:r w:rsidRPr="00662CBC">
              <w:t>] ”</w:t>
            </w:r>
            <w:proofErr w:type="gramEnd"/>
            <w:r w:rsidRPr="005D2F5A">
              <w:rPr>
                <w:rStyle w:val="FootnoteReference"/>
              </w:rPr>
              <w:footnoteReference w:id="13"/>
            </w:r>
          </w:p>
        </w:tc>
        <w:tc>
          <w:tcPr>
            <w:tcW w:w="903" w:type="pct"/>
            <w:shd w:val="clear" w:color="auto" w:fill="auto"/>
          </w:tcPr>
          <w:p w14:paraId="3C023A86" w14:textId="462A62DE" w:rsidR="003A0995" w:rsidRDefault="000F3550" w:rsidP="001D7C45">
            <w:pPr>
              <w:rPr>
                <w:b/>
                <w:bCs/>
              </w:rPr>
            </w:pPr>
            <w:r>
              <w:rPr>
                <w:b/>
                <w:bCs/>
              </w:rPr>
              <w:lastRenderedPageBreak/>
              <w:t>—</w:t>
            </w:r>
          </w:p>
          <w:p w14:paraId="74DFEB34" w14:textId="549ED1F1" w:rsidR="002056AB" w:rsidRDefault="000F3550" w:rsidP="001D7C45">
            <w:r>
              <w:t>T</w:t>
            </w:r>
            <w:r w:rsidR="002056AB" w:rsidRPr="00662CBC">
              <w:t xml:space="preserve">he </w:t>
            </w:r>
            <w:r w:rsidR="002056AB" w:rsidRPr="002056AB">
              <w:rPr>
                <w:u w:val="single"/>
              </w:rPr>
              <w:t>Gender Equality in Society Act</w:t>
            </w:r>
            <w:r w:rsidR="002056AB" w:rsidRPr="00662CBC">
              <w:t xml:space="preserve"> does not specifically exclude Security Forces.</w:t>
            </w:r>
          </w:p>
          <w:p w14:paraId="35322305" w14:textId="77777777" w:rsidR="002056AB" w:rsidRDefault="002056AB" w:rsidP="001D7C45">
            <w:pPr>
              <w:rPr>
                <w:b/>
                <w:bCs/>
              </w:rPr>
            </w:pPr>
          </w:p>
          <w:p w14:paraId="1DD95D63" w14:textId="554B1219" w:rsidR="001D7C45" w:rsidRPr="001D7C45" w:rsidRDefault="001D7C45" w:rsidP="001D7C45">
            <w:pPr>
              <w:rPr>
                <w:b/>
                <w:bCs/>
              </w:rPr>
            </w:pPr>
            <w:r w:rsidRPr="001D7C45">
              <w:rPr>
                <w:b/>
                <w:bCs/>
              </w:rPr>
              <w:t>Note</w:t>
            </w:r>
            <w:r w:rsidRPr="003A0995">
              <w:t xml:space="preserve">: </w:t>
            </w:r>
            <w:r w:rsidRPr="001D7C45">
              <w:rPr>
                <w:b/>
                <w:bCs/>
              </w:rPr>
              <w:t xml:space="preserve">Quotas in policy </w:t>
            </w:r>
          </w:p>
          <w:p w14:paraId="36E06BEB" w14:textId="2AFDB04C" w:rsidR="001D7C45" w:rsidRDefault="001D7C45" w:rsidP="001D7C45">
            <w:r>
              <w:t>“</w:t>
            </w:r>
            <w:r w:rsidRPr="00BF5118">
              <w:t xml:space="preserve">The Ministry of </w:t>
            </w:r>
            <w:r w:rsidR="00FC5273" w:rsidRPr="00BF5118">
              <w:t>Defense</w:t>
            </w:r>
            <w:r w:rsidRPr="00BF5118">
              <w:t xml:space="preserve"> in Albania is one of the few ministries with a gender strategy. From 2011-2015, a 15% quota was instituted for the recruitment of women into each structure of the Armed Forces. This Ministry also has a gender equality officer in its human resources department. Albania has had a high level of women employees in both the civil and military </w:t>
            </w:r>
            <w:r w:rsidRPr="00BF5118">
              <w:lastRenderedPageBreak/>
              <w:t xml:space="preserve">sectors within Ministry of </w:t>
            </w:r>
            <w:proofErr w:type="spellStart"/>
            <w:r w:rsidRPr="00BF5118">
              <w:t>Defence</w:t>
            </w:r>
            <w:proofErr w:type="spellEnd"/>
            <w:r w:rsidRPr="00BF5118">
              <w:t>.</w:t>
            </w:r>
            <w:r>
              <w:t>”</w:t>
            </w:r>
            <w:r>
              <w:rPr>
                <w:rStyle w:val="FootnoteReference"/>
              </w:rPr>
              <w:footnoteReference w:id="14"/>
            </w:r>
          </w:p>
          <w:p w14:paraId="5A98DEC0" w14:textId="77777777" w:rsidR="001D7C45" w:rsidRPr="007B06AE" w:rsidRDefault="001D7C45" w:rsidP="001D7C45">
            <w:r w:rsidRPr="007B06AE">
              <w:t>“There is a quota system for men and women in the armed forces. Based on the new Human Resource Management Strategy in the Armed Forces 2015-2019, approved in 2015, professional military personnel in the armed forces should include at least 15% of women, depending on the required operational levels.”</w:t>
            </w:r>
            <w:r>
              <w:rPr>
                <w:rStyle w:val="FootnoteReference"/>
              </w:rPr>
              <w:footnoteReference w:id="15"/>
            </w:r>
          </w:p>
          <w:p w14:paraId="3C4E2DAC" w14:textId="346381EF" w:rsidR="003A0995" w:rsidRDefault="003A0995" w:rsidP="003A0995">
            <w:pPr>
              <w:rPr>
                <w:b/>
                <w:bCs/>
              </w:rPr>
            </w:pPr>
            <w:r>
              <w:rPr>
                <w:b/>
                <w:bCs/>
              </w:rPr>
              <w:t xml:space="preserve">Note 1: Restrictions for </w:t>
            </w:r>
            <w:r w:rsidR="002056AB">
              <w:rPr>
                <w:b/>
                <w:bCs/>
              </w:rPr>
              <w:t>women</w:t>
            </w:r>
            <w:r w:rsidR="0007658B">
              <w:rPr>
                <w:b/>
                <w:bCs/>
              </w:rPr>
              <w:t>.</w:t>
            </w:r>
          </w:p>
          <w:p w14:paraId="716ED406" w14:textId="1B386490" w:rsidR="003A0995" w:rsidRDefault="003A0995" w:rsidP="003A0995">
            <w:pPr>
              <w:rPr>
                <w:b/>
                <w:bCs/>
              </w:rPr>
            </w:pPr>
            <w:r>
              <w:t xml:space="preserve">“Restrictions on the Incorporation of Women in the Armed Forces In the AAF, there are restrictions on women serving in the Navy, Special Forces and in pilot positions. Since 2018, the AAF lifted restrictions on approximately 158 military occupations. Duties assigned by the MoD within Letter No. 7976 (2019) indicate plans to eliminate further restrictions on women in the AAF. The Armed </w:t>
            </w:r>
            <w:r>
              <w:lastRenderedPageBreak/>
              <w:t>Forces General Staff</w:t>
            </w:r>
            <w:r w:rsidR="006E13D2">
              <w:t xml:space="preserve"> </w:t>
            </w:r>
            <w:r w:rsidR="006E13D2" w:rsidRPr="006E13D2">
              <w:t xml:space="preserve">(J-1) plans to assess and consider the possibility of gradually reducing or removing </w:t>
            </w:r>
            <w:proofErr w:type="gramStart"/>
            <w:r w:rsidR="006E13D2" w:rsidRPr="006E13D2">
              <w:t>gender based</w:t>
            </w:r>
            <w:proofErr w:type="gramEnd"/>
            <w:r w:rsidR="006E13D2" w:rsidRPr="006E13D2">
              <w:t xml:space="preserve"> restrictions to create recruitment opportunities</w:t>
            </w:r>
            <w:r>
              <w:t>”</w:t>
            </w:r>
            <w:r w:rsidR="002056AB">
              <w:rPr>
                <w:rStyle w:val="FootnoteReference"/>
              </w:rPr>
              <w:footnoteReference w:id="16"/>
            </w:r>
          </w:p>
          <w:p w14:paraId="777DF507" w14:textId="2CA94185" w:rsidR="006E13D2" w:rsidRDefault="001D7C45" w:rsidP="00CC58E2">
            <w:r>
              <w:rPr>
                <w:b/>
                <w:bCs/>
              </w:rPr>
              <w:t xml:space="preserve">Note </w:t>
            </w:r>
            <w:r w:rsidR="003A0995">
              <w:rPr>
                <w:b/>
                <w:bCs/>
              </w:rPr>
              <w:t>3</w:t>
            </w:r>
            <w:r>
              <w:t xml:space="preserve">: </w:t>
            </w:r>
            <w:r w:rsidR="006E13D2" w:rsidRPr="006E13D2">
              <w:rPr>
                <w:b/>
                <w:bCs/>
              </w:rPr>
              <w:t>No</w:t>
            </w:r>
            <w:r w:rsidR="006E13D2">
              <w:t xml:space="preserve"> </w:t>
            </w:r>
            <w:r w:rsidR="00220FBE" w:rsidRPr="00220FBE">
              <w:rPr>
                <w:b/>
                <w:bCs/>
              </w:rPr>
              <w:t>i</w:t>
            </w:r>
            <w:r w:rsidR="00CC58E2" w:rsidRPr="00220FBE">
              <w:rPr>
                <w:b/>
                <w:bCs/>
              </w:rPr>
              <w:t>nstitutional</w:t>
            </w:r>
            <w:r w:rsidR="00CC58E2">
              <w:rPr>
                <w:b/>
                <w:bCs/>
              </w:rPr>
              <w:t xml:space="preserve"> mechanism to integrate </w:t>
            </w:r>
            <w:proofErr w:type="gramStart"/>
            <w:r w:rsidR="00CC58E2">
              <w:rPr>
                <w:b/>
                <w:bCs/>
              </w:rPr>
              <w:t>gender</w:t>
            </w:r>
            <w:proofErr w:type="gramEnd"/>
          </w:p>
          <w:p w14:paraId="2767B98E" w14:textId="5FB7EE84" w:rsidR="00B94B88" w:rsidRPr="00B94B88" w:rsidRDefault="00B94B88" w:rsidP="00CC58E2">
            <w:r>
              <w:t>“</w:t>
            </w:r>
            <w:r w:rsidRPr="00B94B88">
              <w:t>The AAF does not have a military entity that oversees the incorporation of gender perspective in the military. However, they have specialists who play a role in integrating gender perspective in the following areas: Human Resources, General Staff and within the general AAF structure.</w:t>
            </w:r>
            <w:r>
              <w:t>”</w:t>
            </w:r>
            <w:r>
              <w:rPr>
                <w:rStyle w:val="FootnoteReference"/>
              </w:rPr>
              <w:t xml:space="preserve"> </w:t>
            </w:r>
            <w:r>
              <w:rPr>
                <w:rStyle w:val="FootnoteReference"/>
              </w:rPr>
              <w:footnoteReference w:id="17"/>
            </w:r>
          </w:p>
          <w:p w14:paraId="079DEC87" w14:textId="335C31F5" w:rsidR="001D7C45" w:rsidRPr="006E13D2" w:rsidRDefault="006E13D2" w:rsidP="006E13D2">
            <w:r>
              <w:rPr>
                <w:b/>
                <w:bCs/>
              </w:rPr>
              <w:t>Note 4</w:t>
            </w:r>
            <w:r>
              <w:t xml:space="preserve">: </w:t>
            </w:r>
            <w:r w:rsidR="00CC58E2">
              <w:rPr>
                <w:b/>
                <w:bCs/>
              </w:rPr>
              <w:t>military facilities/and uniform for both sexes</w:t>
            </w:r>
            <w:r>
              <w:rPr>
                <w:b/>
                <w:bCs/>
              </w:rPr>
              <w:t xml:space="preserve"> but military equipment is not </w:t>
            </w:r>
            <w:r w:rsidR="001D7C45" w:rsidRPr="00BF5118">
              <w:br/>
            </w:r>
            <w:r>
              <w:t>“</w:t>
            </w:r>
            <w:r w:rsidR="001D7C45" w:rsidRPr="00BF5118">
              <w:t>Military equipment (</w:t>
            </w:r>
            <w:proofErr w:type="gramStart"/>
            <w:r w:rsidR="001D7C45" w:rsidRPr="00BF5118">
              <w:t>e.g.</w:t>
            </w:r>
            <w:proofErr w:type="gramEnd"/>
            <w:r w:rsidR="001D7C45" w:rsidRPr="00BF5118">
              <w:t xml:space="preserve"> tanks, aircraft and submarines) is not equally configured to men and women. Military facilities, on the other hand, are separate and </w:t>
            </w:r>
            <w:r w:rsidR="001D7C45" w:rsidRPr="00BF5118">
              <w:lastRenderedPageBreak/>
              <w:t>adapted for both men and women. Uniforms are fitted for both men and women (</w:t>
            </w:r>
            <w:proofErr w:type="gramStart"/>
            <w:r w:rsidR="001D7C45" w:rsidRPr="00BF5118">
              <w:t>e.g.</w:t>
            </w:r>
            <w:proofErr w:type="gramEnd"/>
            <w:r w:rsidR="001D7C45" w:rsidRPr="00BF5118">
              <w:t xml:space="preserve"> combat uniforms) and are available to suit their size and physical constitution.”</w:t>
            </w:r>
            <w:r w:rsidR="001D7C45" w:rsidRPr="00BF5118">
              <w:rPr>
                <w:rStyle w:val="FootnoteReference"/>
              </w:rPr>
              <w:t xml:space="preserve"> </w:t>
            </w:r>
            <w:r w:rsidR="001D7C45">
              <w:rPr>
                <w:rStyle w:val="FootnoteReference"/>
              </w:rPr>
              <w:footnoteReference w:id="18"/>
            </w:r>
          </w:p>
          <w:p w14:paraId="7488A1E2" w14:textId="5E239748" w:rsidR="004116DF" w:rsidRPr="00662CBC" w:rsidRDefault="009D7B3A" w:rsidP="00F651A8">
            <w:r>
              <w:rPr>
                <w:b/>
                <w:bCs/>
              </w:rPr>
              <w:t xml:space="preserve">Note </w:t>
            </w:r>
            <w:r w:rsidR="002056AB">
              <w:rPr>
                <w:b/>
                <w:bCs/>
              </w:rPr>
              <w:t>5</w:t>
            </w:r>
            <w:r>
              <w:rPr>
                <w:b/>
                <w:bCs/>
              </w:rPr>
              <w:t xml:space="preserve">: </w:t>
            </w:r>
            <w:r w:rsidR="004116DF" w:rsidRPr="00662CBC">
              <w:rPr>
                <w:b/>
                <w:bCs/>
              </w:rPr>
              <w:t>NAP wants more representation</w:t>
            </w:r>
            <w:r w:rsidR="004116DF" w:rsidRPr="00662CBC">
              <w:t xml:space="preserve">: </w:t>
            </w:r>
          </w:p>
          <w:p w14:paraId="4E511EA5" w14:textId="77777777" w:rsidR="004116DF" w:rsidRPr="00662CBC" w:rsidRDefault="004116DF" w:rsidP="00F13C5B">
            <w:r w:rsidRPr="00662CBC">
              <w:t>“</w:t>
            </w:r>
            <w:r w:rsidRPr="00662CBC">
              <w:rPr>
                <w:b/>
                <w:bCs/>
                <w:i/>
                <w:iCs/>
              </w:rPr>
              <w:t>Objective 2.1: Inclusion of a gender balance in security sector activities</w:t>
            </w:r>
            <w:r w:rsidRPr="00662CBC">
              <w:rPr>
                <w:b/>
                <w:bCs/>
                <w:i/>
                <w:iCs/>
              </w:rPr>
              <w:br/>
            </w:r>
            <w:r w:rsidRPr="00662CBC">
              <w:t>Measures:</w:t>
            </w:r>
            <w:r w:rsidRPr="00662CBC">
              <w:rPr>
                <w:b/>
                <w:bCs/>
                <w:i/>
                <w:iCs/>
              </w:rPr>
              <w:br/>
            </w:r>
            <w:r w:rsidRPr="00662CBC">
              <w:t>1. Promote/appoint women officers in police and the armed forces to leading positions and</w:t>
            </w:r>
            <w:r w:rsidRPr="00662CBC">
              <w:rPr>
                <w:b/>
                <w:bCs/>
                <w:i/>
                <w:iCs/>
              </w:rPr>
              <w:t xml:space="preserve"> </w:t>
            </w:r>
            <w:r w:rsidRPr="00662CBC">
              <w:t>strengthen management capacities of women as leaders in the Police and Armed Forces</w:t>
            </w:r>
            <w:r w:rsidRPr="00662CBC">
              <w:rPr>
                <w:b/>
                <w:bCs/>
                <w:i/>
                <w:iCs/>
              </w:rPr>
              <w:br/>
            </w:r>
            <w:r w:rsidRPr="00662CBC">
              <w:t xml:space="preserve">- Institutions: </w:t>
            </w:r>
            <w:proofErr w:type="spellStart"/>
            <w:r w:rsidRPr="00662CBC">
              <w:t>MoIA</w:t>
            </w:r>
            <w:proofErr w:type="spellEnd"/>
            <w:r w:rsidRPr="00662CBC">
              <w:t>, MEFA and MoD</w:t>
            </w:r>
            <w:r w:rsidRPr="00662CBC">
              <w:rPr>
                <w:b/>
                <w:bCs/>
                <w:i/>
                <w:iCs/>
              </w:rPr>
              <w:br/>
            </w:r>
            <w:r w:rsidRPr="00662CBC">
              <w:t>- Deadline: 2018-2020</w:t>
            </w:r>
            <w:r w:rsidRPr="00662CBC">
              <w:rPr>
                <w:b/>
                <w:bCs/>
                <w:i/>
                <w:iCs/>
              </w:rPr>
              <w:br/>
            </w:r>
            <w:r w:rsidRPr="00662CBC">
              <w:t>2. Increase the number of women, as the underrepresented gender, in the career system of the security sector, in line with the legislation in force</w:t>
            </w:r>
            <w:r w:rsidRPr="00662CBC">
              <w:br/>
              <w:t xml:space="preserve">- Institutions: </w:t>
            </w:r>
            <w:proofErr w:type="spellStart"/>
            <w:r w:rsidRPr="00662CBC">
              <w:t>MoIA</w:t>
            </w:r>
            <w:proofErr w:type="spellEnd"/>
            <w:r w:rsidRPr="00662CBC">
              <w:t xml:space="preserve">, </w:t>
            </w:r>
            <w:proofErr w:type="spellStart"/>
            <w:r w:rsidRPr="00662CBC">
              <w:t>MoEFA</w:t>
            </w:r>
            <w:proofErr w:type="spellEnd"/>
            <w:r w:rsidRPr="00662CBC">
              <w:t xml:space="preserve"> and MoD</w:t>
            </w:r>
            <w:r w:rsidRPr="00662CBC">
              <w:br/>
              <w:t>- Deadline: 2018-2020</w:t>
            </w:r>
            <w:r w:rsidRPr="00662CBC">
              <w:br/>
              <w:t xml:space="preserve">3. Promote women in the Police serving in different structures, including crime investigation </w:t>
            </w:r>
            <w:r w:rsidRPr="00662CBC">
              <w:lastRenderedPageBreak/>
              <w:t>structures</w:t>
            </w:r>
            <w:r w:rsidRPr="00662CBC">
              <w:br/>
              <w:t xml:space="preserve">- Institutions: </w:t>
            </w:r>
            <w:proofErr w:type="spellStart"/>
            <w:r w:rsidRPr="00662CBC">
              <w:t>MoIA</w:t>
            </w:r>
            <w:proofErr w:type="spellEnd"/>
            <w:r w:rsidRPr="00662CBC">
              <w:br/>
              <w:t>- Deadline: 2018-2020</w:t>
            </w:r>
            <w:r w:rsidRPr="00662CBC">
              <w:br/>
              <w:t>4. Increase the number of women officers in operational crime investigation structures</w:t>
            </w:r>
            <w:r w:rsidRPr="00662CBC">
              <w:br/>
              <w:t xml:space="preserve">- Institutions: </w:t>
            </w:r>
            <w:proofErr w:type="spellStart"/>
            <w:r w:rsidRPr="00662CBC">
              <w:t>MoIA</w:t>
            </w:r>
            <w:proofErr w:type="spellEnd"/>
            <w:r w:rsidRPr="00662CBC">
              <w:br/>
              <w:t>- Deadline: 2018-2020</w:t>
            </w:r>
            <w:r w:rsidRPr="00662CBC">
              <w:br/>
              <w:t>5. Increase participation of women in Armed Forces structures in peacekeeping missions outside of the country</w:t>
            </w:r>
            <w:r w:rsidRPr="00662CBC">
              <w:br/>
              <w:t>- Institutions: MoD</w:t>
            </w:r>
            <w:r w:rsidRPr="00662CBC">
              <w:br/>
              <w:t>- Deadline: 2018-2020</w:t>
            </w:r>
          </w:p>
          <w:p w14:paraId="7F63F43D" w14:textId="69F9E594" w:rsidR="004116DF" w:rsidRPr="00662CBC" w:rsidRDefault="004116DF" w:rsidP="00F13C5B">
            <w:r w:rsidRPr="00662CBC">
              <w:rPr>
                <w:b/>
                <w:bCs/>
                <w:i/>
                <w:iCs/>
              </w:rPr>
              <w:t>Objective 2.2: Increase representation of women in decision-making activities and processes related to the preservation of security and peace</w:t>
            </w:r>
            <w:r w:rsidRPr="00662CBC">
              <w:rPr>
                <w:b/>
                <w:bCs/>
                <w:i/>
                <w:iCs/>
              </w:rPr>
              <w:br/>
            </w:r>
            <w:r w:rsidRPr="00662CBC">
              <w:t>Measures:</w:t>
            </w:r>
            <w:r w:rsidRPr="00662CBC">
              <w:br/>
              <w:t>1. Increase the number of women as military attaches at diplomatic representations and embassies of the Republic of Albania and international organizations addressing international security issues</w:t>
            </w:r>
            <w:r w:rsidRPr="00662CBC">
              <w:br/>
              <w:t xml:space="preserve">- Institutions: </w:t>
            </w:r>
            <w:proofErr w:type="spellStart"/>
            <w:r w:rsidRPr="00662CBC">
              <w:t>MoEFA</w:t>
            </w:r>
            <w:proofErr w:type="spellEnd"/>
            <w:r w:rsidRPr="00662CBC">
              <w:t xml:space="preserve">, </w:t>
            </w:r>
            <w:proofErr w:type="spellStart"/>
            <w:r w:rsidRPr="00662CBC">
              <w:t>MoIA</w:t>
            </w:r>
            <w:proofErr w:type="spellEnd"/>
            <w:r w:rsidRPr="00662CBC">
              <w:t xml:space="preserve"> and MoD</w:t>
            </w:r>
            <w:r w:rsidRPr="00662CBC">
              <w:br/>
              <w:t>- Deadline: 2018-2020</w:t>
            </w:r>
            <w:r w:rsidRPr="00662CBC">
              <w:br/>
              <w:t xml:space="preserve">2. Increase the number of high-level diplomatic women as Ambassadors at permanent missions and embassies of the Republic of </w:t>
            </w:r>
            <w:r w:rsidRPr="00662CBC">
              <w:lastRenderedPageBreak/>
              <w:t>Albania and international organizations addressing international security issues</w:t>
            </w:r>
            <w:r w:rsidRPr="00662CBC">
              <w:br/>
              <w:t xml:space="preserve">- Institutions: </w:t>
            </w:r>
            <w:proofErr w:type="spellStart"/>
            <w:r w:rsidRPr="00662CBC">
              <w:t>MoEFA</w:t>
            </w:r>
            <w:proofErr w:type="spellEnd"/>
            <w:r w:rsidRPr="00662CBC">
              <w:br/>
              <w:t>- Deadline: 2018-2020</w:t>
            </w:r>
            <w:r w:rsidRPr="00662CBC">
              <w:br/>
              <w:t>3. Appoint or assign women to leading positions in international organizations addressing security issues</w:t>
            </w:r>
            <w:r w:rsidRPr="00662CBC">
              <w:br/>
              <w:t xml:space="preserve">- Institutions: </w:t>
            </w:r>
            <w:proofErr w:type="spellStart"/>
            <w:r w:rsidRPr="00662CBC">
              <w:t>MoEFA</w:t>
            </w:r>
            <w:proofErr w:type="spellEnd"/>
            <w:r w:rsidRPr="00662CBC">
              <w:t xml:space="preserve"> and MoD</w:t>
            </w:r>
            <w:r w:rsidRPr="00662CBC">
              <w:br/>
              <w:t>- Deadline: 2018-2020</w:t>
            </w:r>
            <w:r w:rsidRPr="00662CBC">
              <w:br/>
              <w:t xml:space="preserve">4. Increase the number of women at decision-making levels in mechanisms for conflict prevention, </w:t>
            </w:r>
            <w:proofErr w:type="gramStart"/>
            <w:r w:rsidRPr="00662CBC">
              <w:t>management</w:t>
            </w:r>
            <w:proofErr w:type="gramEnd"/>
            <w:r w:rsidRPr="00662CBC">
              <w:t xml:space="preserve"> and resolution at the local, regional and central level</w:t>
            </w:r>
            <w:r w:rsidRPr="00662CBC">
              <w:br/>
              <w:t xml:space="preserve">- Institutions: </w:t>
            </w:r>
            <w:proofErr w:type="spellStart"/>
            <w:r w:rsidRPr="00662CBC">
              <w:t>MoEFA</w:t>
            </w:r>
            <w:proofErr w:type="spellEnd"/>
            <w:r w:rsidRPr="00662CBC">
              <w:t xml:space="preserve">, </w:t>
            </w:r>
            <w:proofErr w:type="spellStart"/>
            <w:r w:rsidRPr="00662CBC">
              <w:t>MoIA</w:t>
            </w:r>
            <w:proofErr w:type="spellEnd"/>
            <w:r w:rsidRPr="00662CBC">
              <w:t>, MoD and CSOs specialized in Resolution 1325</w:t>
            </w:r>
            <w:r w:rsidRPr="00662CBC">
              <w:br/>
              <w:t>- Deadline: 2018-2020”</w:t>
            </w:r>
            <w:r w:rsidRPr="005D2F5A">
              <w:rPr>
                <w:rStyle w:val="FootnoteReference"/>
              </w:rPr>
              <w:footnoteReference w:id="19"/>
            </w:r>
          </w:p>
        </w:tc>
        <w:tc>
          <w:tcPr>
            <w:tcW w:w="949" w:type="pct"/>
            <w:shd w:val="clear" w:color="auto" w:fill="auto"/>
          </w:tcPr>
          <w:p w14:paraId="5EE378B1" w14:textId="5AAC77D9" w:rsidR="004116DF" w:rsidRPr="00662CBC" w:rsidRDefault="004116DF" w:rsidP="00F651A8">
            <w:pPr>
              <w:rPr>
                <w:b/>
                <w:bCs/>
              </w:rPr>
            </w:pPr>
            <w:r w:rsidRPr="00662CBC">
              <w:rPr>
                <w:b/>
                <w:bCs/>
              </w:rPr>
              <w:lastRenderedPageBreak/>
              <w:t>No mandatory military service.</w:t>
            </w:r>
          </w:p>
          <w:p w14:paraId="0FE98137" w14:textId="77777777" w:rsidR="004116DF" w:rsidRPr="00662CBC" w:rsidRDefault="004116DF" w:rsidP="00F651A8">
            <w:r w:rsidRPr="00662CBC">
              <w:t>“19 is the legal minimum age for voluntary military service; 18 is the legal minimum age in case of general/partial compulsory mobilization; conscription abolished 2010 (2021)</w:t>
            </w:r>
          </w:p>
          <w:p w14:paraId="1FA34AE3" w14:textId="0210AC4C" w:rsidR="004116DF" w:rsidRPr="00662CBC" w:rsidRDefault="004116DF" w:rsidP="00F651A8">
            <w:r w:rsidRPr="00662CBC">
              <w:rPr>
                <w:b/>
                <w:bCs/>
              </w:rPr>
              <w:t>note</w:t>
            </w:r>
            <w:r w:rsidRPr="00662CBC">
              <w:t>: as of 2021, women comprised about 15% of the military's full-time personnel, including 20% of the officers”</w:t>
            </w:r>
            <w:r w:rsidRPr="005D2F5A">
              <w:rPr>
                <w:rStyle w:val="FootnoteReference"/>
              </w:rPr>
              <w:footnoteReference w:id="20"/>
            </w:r>
          </w:p>
        </w:tc>
        <w:tc>
          <w:tcPr>
            <w:tcW w:w="677" w:type="pct"/>
            <w:shd w:val="clear" w:color="auto" w:fill="auto"/>
          </w:tcPr>
          <w:p w14:paraId="4F223ED7" w14:textId="3D2DCFCB" w:rsidR="004116DF" w:rsidRDefault="00000000" w:rsidP="00F651A8">
            <w:pPr>
              <w:rPr>
                <w:b/>
                <w:bCs/>
              </w:rPr>
            </w:pPr>
            <w:hyperlink r:id="rId10" w:history="1">
              <w:r w:rsidR="004116DF" w:rsidRPr="00DE634D">
                <w:rPr>
                  <w:rStyle w:val="Hyperlink"/>
                  <w:b/>
                  <w:bCs/>
                </w:rPr>
                <w:t>NAP 2018-2020</w:t>
              </w:r>
            </w:hyperlink>
            <w:r w:rsidR="004116DF" w:rsidRPr="00662CBC">
              <w:t>: “The main objectives of the NAP [...] increasing the participation of women in the field of security at home and abroad;"</w:t>
            </w:r>
            <w:r w:rsidR="004116DF" w:rsidRPr="00662CBC">
              <w:rPr>
                <w:rStyle w:val="FootnoteReference"/>
                <w:szCs w:val="20"/>
              </w:rPr>
              <w:t xml:space="preserve"> </w:t>
            </w:r>
            <w:r w:rsidR="004116DF" w:rsidRPr="005D2F5A">
              <w:rPr>
                <w:rStyle w:val="FootnoteReference"/>
              </w:rPr>
              <w:footnoteReference w:id="21"/>
            </w:r>
            <w:r w:rsidR="004116DF" w:rsidRPr="00662CBC">
              <w:rPr>
                <w:b/>
                <w:bCs/>
              </w:rPr>
              <w:t xml:space="preserve"> </w:t>
            </w:r>
          </w:p>
          <w:p w14:paraId="389DD002" w14:textId="59313516" w:rsidR="00062E89" w:rsidRPr="00062E89" w:rsidRDefault="00062E89" w:rsidP="00F651A8">
            <w:r>
              <w:t>“</w:t>
            </w:r>
            <w:r w:rsidRPr="00062E89">
              <w:t>The NAP includes a detailed budget, with implementation activities fully costed.</w:t>
            </w:r>
            <w:r>
              <w:t>”</w:t>
            </w:r>
            <w:r w:rsidR="00497D8D" w:rsidRPr="005D2F5A">
              <w:rPr>
                <w:rStyle w:val="FootnoteReference"/>
              </w:rPr>
              <w:footnoteReference w:id="22"/>
            </w:r>
          </w:p>
        </w:tc>
      </w:tr>
      <w:tr w:rsidR="005A7203" w:rsidRPr="00662CBC" w14:paraId="030E4B0B" w14:textId="77777777" w:rsidTr="00F37D6B">
        <w:tc>
          <w:tcPr>
            <w:tcW w:w="139" w:type="pct"/>
            <w:shd w:val="clear" w:color="auto" w:fill="auto"/>
          </w:tcPr>
          <w:p w14:paraId="0517979E"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75202BFD" w14:textId="77777777" w:rsidR="004116DF" w:rsidRPr="00662CBC" w:rsidRDefault="004116DF" w:rsidP="006064D6">
            <w:pPr>
              <w:pStyle w:val="Heading3"/>
            </w:pPr>
            <w:bookmarkStart w:id="6" w:name="_Toc132806690"/>
            <w:r w:rsidRPr="00662CBC">
              <w:t>Andorra</w:t>
            </w:r>
            <w:bookmarkEnd w:id="6"/>
          </w:p>
          <w:p w14:paraId="6E446D76" w14:textId="77777777" w:rsidR="004116DF" w:rsidRPr="00662CBC" w:rsidRDefault="004116DF" w:rsidP="006064D6">
            <w:pPr>
              <w:rPr>
                <w:b/>
                <w:bCs/>
                <w:szCs w:val="20"/>
              </w:rPr>
            </w:pPr>
          </w:p>
        </w:tc>
        <w:tc>
          <w:tcPr>
            <w:tcW w:w="855" w:type="pct"/>
            <w:shd w:val="clear" w:color="auto" w:fill="auto"/>
          </w:tcPr>
          <w:p w14:paraId="143B7FED" w14:textId="77777777" w:rsidR="004116DF" w:rsidRPr="00662CBC" w:rsidRDefault="004116DF" w:rsidP="00171ABC">
            <w:r w:rsidRPr="00662CBC">
              <w:rPr>
                <w:b/>
                <w:bCs/>
              </w:rPr>
              <w:t>NDC 2020-2030 and 2031-2050</w:t>
            </w:r>
            <w:r w:rsidRPr="00662CBC">
              <w:t xml:space="preserve"> (2022)</w:t>
            </w:r>
            <w:r w:rsidRPr="005D2F5A">
              <w:rPr>
                <w:rStyle w:val="FootnoteReference"/>
              </w:rPr>
              <w:footnoteReference w:id="23"/>
            </w:r>
          </w:p>
          <w:p w14:paraId="5924AF35" w14:textId="21FFCCC0" w:rsidR="004116DF" w:rsidRPr="00662CBC" w:rsidRDefault="004116DF" w:rsidP="00171ABC">
            <w:r w:rsidRPr="00662CBC">
              <w:t xml:space="preserve">No mention of gender </w:t>
            </w:r>
          </w:p>
        </w:tc>
        <w:tc>
          <w:tcPr>
            <w:tcW w:w="1023" w:type="pct"/>
            <w:shd w:val="clear" w:color="auto" w:fill="auto"/>
          </w:tcPr>
          <w:p w14:paraId="6D08BBCD" w14:textId="1053DEDE" w:rsidR="004116DF" w:rsidRPr="00662CBC" w:rsidRDefault="004116DF" w:rsidP="00171ABC">
            <w:r w:rsidRPr="00662CBC">
              <w:t>—</w:t>
            </w:r>
          </w:p>
        </w:tc>
        <w:tc>
          <w:tcPr>
            <w:tcW w:w="903" w:type="pct"/>
            <w:shd w:val="clear" w:color="auto" w:fill="auto"/>
          </w:tcPr>
          <w:p w14:paraId="0319AA00" w14:textId="77777777" w:rsidR="004116DF" w:rsidRPr="00B94B88" w:rsidRDefault="004116DF" w:rsidP="00B12FF0">
            <w:pPr>
              <w:rPr>
                <w:b/>
                <w:bCs/>
              </w:rPr>
            </w:pPr>
            <w:r w:rsidRPr="00B94B88">
              <w:rPr>
                <w:b/>
                <w:bCs/>
              </w:rPr>
              <w:t>Does not have armed forces!</w:t>
            </w:r>
          </w:p>
          <w:p w14:paraId="0A9B85AA" w14:textId="77777777" w:rsidR="004116DF" w:rsidRPr="00662CBC" w:rsidRDefault="004116DF" w:rsidP="006064D6">
            <w:pPr>
              <w:rPr>
                <w:b/>
                <w:bCs/>
              </w:rPr>
            </w:pPr>
          </w:p>
        </w:tc>
        <w:tc>
          <w:tcPr>
            <w:tcW w:w="949" w:type="pct"/>
            <w:shd w:val="clear" w:color="auto" w:fill="auto"/>
          </w:tcPr>
          <w:p w14:paraId="7B0F4B0E" w14:textId="29194F71" w:rsidR="004116DF" w:rsidRPr="00CE7F05" w:rsidRDefault="004116DF" w:rsidP="00A47701">
            <w:pPr>
              <w:rPr>
                <w:b/>
                <w:bCs/>
              </w:rPr>
            </w:pPr>
            <w:r w:rsidRPr="00CE7F05">
              <w:rPr>
                <w:b/>
                <w:bCs/>
              </w:rPr>
              <w:t xml:space="preserve">No mandatory service </w:t>
            </w:r>
          </w:p>
        </w:tc>
        <w:tc>
          <w:tcPr>
            <w:tcW w:w="677" w:type="pct"/>
            <w:shd w:val="clear" w:color="auto" w:fill="auto"/>
          </w:tcPr>
          <w:p w14:paraId="0B637F10" w14:textId="3ECF6538" w:rsidR="004116DF" w:rsidRPr="00662CBC" w:rsidRDefault="004116DF" w:rsidP="00B12FF0">
            <w:pPr>
              <w:rPr>
                <w:b/>
                <w:bCs/>
              </w:rPr>
            </w:pPr>
            <w:r w:rsidRPr="00662CBC">
              <w:rPr>
                <w:b/>
                <w:bCs/>
              </w:rPr>
              <w:t>No</w:t>
            </w:r>
            <w:r w:rsidRPr="00662CBC">
              <w:t xml:space="preserve"> </w:t>
            </w:r>
            <w:r w:rsidRPr="00662CBC">
              <w:rPr>
                <w:b/>
                <w:bCs/>
              </w:rPr>
              <w:t>NAP</w:t>
            </w:r>
          </w:p>
        </w:tc>
      </w:tr>
      <w:tr w:rsidR="005A7203" w:rsidRPr="00662CBC" w14:paraId="54FF0FB5" w14:textId="77777777" w:rsidTr="00F37D6B">
        <w:tc>
          <w:tcPr>
            <w:tcW w:w="139" w:type="pct"/>
            <w:shd w:val="clear" w:color="auto" w:fill="auto"/>
          </w:tcPr>
          <w:p w14:paraId="56619F18"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7A213433" w14:textId="77777777" w:rsidR="004116DF" w:rsidRPr="00662CBC" w:rsidRDefault="004116DF" w:rsidP="006064D6">
            <w:pPr>
              <w:pStyle w:val="Heading3"/>
              <w:rPr>
                <w:szCs w:val="20"/>
              </w:rPr>
            </w:pPr>
            <w:bookmarkStart w:id="7" w:name="_Toc132806691"/>
            <w:r w:rsidRPr="00662CBC">
              <w:rPr>
                <w:szCs w:val="20"/>
              </w:rPr>
              <w:t>Armenia</w:t>
            </w:r>
            <w:bookmarkEnd w:id="7"/>
          </w:p>
          <w:p w14:paraId="66DC7DF0" w14:textId="77777777" w:rsidR="004116DF" w:rsidRPr="00662CBC" w:rsidRDefault="004116DF" w:rsidP="006064D6">
            <w:pPr>
              <w:spacing w:after="0"/>
              <w:rPr>
                <w:szCs w:val="20"/>
              </w:rPr>
            </w:pPr>
          </w:p>
        </w:tc>
        <w:tc>
          <w:tcPr>
            <w:tcW w:w="855" w:type="pct"/>
            <w:shd w:val="clear" w:color="auto" w:fill="auto"/>
          </w:tcPr>
          <w:p w14:paraId="33128B66" w14:textId="3D630D84" w:rsidR="004116DF" w:rsidRPr="00662CBC" w:rsidRDefault="004116DF" w:rsidP="00D0538C">
            <w:pPr>
              <w:rPr>
                <w:b/>
                <w:bCs/>
              </w:rPr>
            </w:pPr>
            <w:r w:rsidRPr="00662CBC">
              <w:rPr>
                <w:b/>
                <w:bCs/>
              </w:rPr>
              <w:t xml:space="preserve">NDC 2015-2030 - Updated 2021-2030 </w:t>
            </w:r>
            <w:r w:rsidRPr="00662CBC">
              <w:t xml:space="preserve">(2021): states that </w:t>
            </w:r>
            <w:r w:rsidRPr="00662CBC">
              <w:lastRenderedPageBreak/>
              <w:t xml:space="preserve">the implementation </w:t>
            </w:r>
            <w:proofErr w:type="gramStart"/>
            <w:r w:rsidRPr="00662CBC">
              <w:t>has to</w:t>
            </w:r>
            <w:proofErr w:type="gramEnd"/>
            <w:r w:rsidRPr="00662CBC">
              <w:t xml:space="preserve"> be gender sensitive</w:t>
            </w:r>
            <w:r w:rsidRPr="005D2F5A">
              <w:rPr>
                <w:rStyle w:val="FootnoteReference"/>
              </w:rPr>
              <w:footnoteReference w:id="24"/>
            </w:r>
          </w:p>
        </w:tc>
        <w:tc>
          <w:tcPr>
            <w:tcW w:w="1023" w:type="pct"/>
            <w:shd w:val="clear" w:color="auto" w:fill="auto"/>
          </w:tcPr>
          <w:p w14:paraId="661BD900" w14:textId="77777777" w:rsidR="004116DF" w:rsidRPr="00662CBC" w:rsidRDefault="004116DF" w:rsidP="00230DAC">
            <w:pPr>
              <w:rPr>
                <w:b/>
                <w:bCs/>
              </w:rPr>
            </w:pPr>
            <w:r w:rsidRPr="00662CBC">
              <w:rPr>
                <w:b/>
                <w:bCs/>
              </w:rPr>
              <w:lastRenderedPageBreak/>
              <w:t>No affirmative action</w:t>
            </w:r>
            <w:r w:rsidRPr="00662CBC">
              <w:t>.</w:t>
            </w:r>
          </w:p>
          <w:p w14:paraId="24399ECD" w14:textId="77777777" w:rsidR="004116DF" w:rsidRDefault="004116DF" w:rsidP="006064D6">
            <w:r w:rsidRPr="00662CBC">
              <w:lastRenderedPageBreak/>
              <w:t xml:space="preserve">“The leadership of Armenia doesn’t delegate any visible policy-making roles to women in foreign and security policy. Those areas have been traditionally </w:t>
            </w:r>
            <w:proofErr w:type="spellStart"/>
            <w:r w:rsidRPr="00662CBC">
              <w:t>monopolised</w:t>
            </w:r>
            <w:proofErr w:type="spellEnd"/>
            <w:r w:rsidRPr="00662CBC">
              <w:t xml:space="preserve"> and dominated by men, and even if women often have important advisory and support roles, they remain invisible and backstage. There is resistance to positive discrimination or affirmative actions in </w:t>
            </w:r>
            <w:proofErr w:type="spellStart"/>
            <w:r w:rsidRPr="00662CBC">
              <w:t>favour</w:t>
            </w:r>
            <w:proofErr w:type="spellEnd"/>
            <w:r w:rsidRPr="00662CBC">
              <w:t xml:space="preserve"> of women because of the perception that appointments should be merit-based. However, in reality, even if there are qualified women specialists in the areas of foreign policy and security governance, they are not considered for senior roles while many men don’t prove to be good managers, decision- and </w:t>
            </w:r>
            <w:proofErr w:type="gramStart"/>
            <w:r w:rsidRPr="00662CBC">
              <w:t>policy-makers</w:t>
            </w:r>
            <w:proofErr w:type="gramEnd"/>
            <w:r w:rsidRPr="00662CBC">
              <w:t>.”</w:t>
            </w:r>
            <w:r w:rsidRPr="005D2F5A">
              <w:rPr>
                <w:rStyle w:val="FootnoteReference"/>
              </w:rPr>
              <w:footnoteReference w:id="25"/>
            </w:r>
          </w:p>
          <w:p w14:paraId="4BC725E7" w14:textId="77777777" w:rsidR="00CB78C9" w:rsidRDefault="00CB78C9" w:rsidP="006064D6"/>
          <w:p w14:paraId="3205E40A" w14:textId="77777777" w:rsidR="00CB78C9" w:rsidRPr="00A61CC8" w:rsidRDefault="00CB78C9" w:rsidP="00CB78C9">
            <w:pPr>
              <w:rPr>
                <w:szCs w:val="20"/>
              </w:rPr>
            </w:pPr>
            <w:r w:rsidRPr="00A61CC8">
              <w:rPr>
                <w:b/>
                <w:bCs/>
                <w:szCs w:val="20"/>
              </w:rPr>
              <w:t>CEDAW</w:t>
            </w:r>
            <w:r>
              <w:rPr>
                <w:b/>
                <w:bCs/>
                <w:szCs w:val="20"/>
              </w:rPr>
              <w:t xml:space="preserve"> Concluding Observations</w:t>
            </w:r>
            <w:r>
              <w:rPr>
                <w:szCs w:val="20"/>
              </w:rPr>
              <w:t xml:space="preserve"> (2022):</w:t>
            </w:r>
          </w:p>
          <w:p w14:paraId="2CC84BF2" w14:textId="270A144C" w:rsidR="00CB78C9" w:rsidRPr="00662CBC" w:rsidRDefault="00CB78C9" w:rsidP="00CB78C9">
            <w:r>
              <w:rPr>
                <w:szCs w:val="20"/>
              </w:rPr>
              <w:lastRenderedPageBreak/>
              <w:t>“</w:t>
            </w:r>
            <w:r w:rsidRPr="00A61CC8">
              <w:rPr>
                <w:szCs w:val="20"/>
              </w:rPr>
              <w:t xml:space="preserve">30. </w:t>
            </w:r>
            <w:r w:rsidRPr="00A61CC8">
              <w:rPr>
                <w:b/>
                <w:bCs/>
                <w:szCs w:val="20"/>
              </w:rPr>
              <w:t>Recalling its general recommendation No. 23 (1997) on women in political and public life, the Committee recommends that the State party:</w:t>
            </w:r>
            <w:r w:rsidRPr="00A61CC8">
              <w:rPr>
                <w:szCs w:val="20"/>
              </w:rPr>
              <w:t xml:space="preserve"> </w:t>
            </w:r>
            <w:r>
              <w:rPr>
                <w:szCs w:val="20"/>
              </w:rPr>
              <w:br/>
            </w:r>
            <w:r w:rsidRPr="00A61CC8">
              <w:rPr>
                <w:szCs w:val="20"/>
              </w:rPr>
              <w:t xml:space="preserve">(a) </w:t>
            </w:r>
            <w:r w:rsidRPr="00A61CC8">
              <w:rPr>
                <w:b/>
                <w:bCs/>
                <w:szCs w:val="20"/>
              </w:rPr>
              <w:t>Introduce targeted measures, including temporary special measures, in line with article 4 (1) of the Convention and general recommendation No. 25, such as increased quotas and targeted campaign financing, to increase the representation of women at all levels of the Government, in the National Assembly, the judiciary, academia, the foreign service and international organizations, in particular at decision-making levels</w:t>
            </w:r>
            <w:r w:rsidRPr="00A61CC8">
              <w:rPr>
                <w:szCs w:val="20"/>
              </w:rPr>
              <w:t>;</w:t>
            </w:r>
            <w:r w:rsidRPr="00642EDA">
              <w:rPr>
                <w:szCs w:val="20"/>
              </w:rPr>
              <w:t>”</w:t>
            </w:r>
            <w:r w:rsidRPr="00AA03E7">
              <w:rPr>
                <w:rStyle w:val="FootnoteReference"/>
              </w:rPr>
              <w:footnoteReference w:id="26"/>
            </w:r>
          </w:p>
        </w:tc>
        <w:tc>
          <w:tcPr>
            <w:tcW w:w="903" w:type="pct"/>
            <w:shd w:val="clear" w:color="auto" w:fill="auto"/>
          </w:tcPr>
          <w:p w14:paraId="1B165770" w14:textId="77777777" w:rsidR="004116DF" w:rsidRPr="00662CBC" w:rsidRDefault="004116DF" w:rsidP="00A47701">
            <w:pPr>
              <w:rPr>
                <w:b/>
                <w:bCs/>
              </w:rPr>
            </w:pPr>
            <w:r w:rsidRPr="00662CBC">
              <w:rPr>
                <w:b/>
                <w:bCs/>
              </w:rPr>
              <w:lastRenderedPageBreak/>
              <w:t>No affirmative action</w:t>
            </w:r>
            <w:r w:rsidRPr="00662CBC">
              <w:t>.</w:t>
            </w:r>
          </w:p>
          <w:p w14:paraId="432512F8" w14:textId="77777777" w:rsidR="004116DF" w:rsidRPr="00662CBC" w:rsidRDefault="004116DF" w:rsidP="00A47701">
            <w:pPr>
              <w:rPr>
                <w:b/>
                <w:bCs/>
              </w:rPr>
            </w:pPr>
            <w:r w:rsidRPr="00662CBC">
              <w:lastRenderedPageBreak/>
              <w:t>“The 2020 National Security Strategy recognized the low level of women’s engagement in social and political life, especially in state governance, which prevents the country from fully utilizing the human capital towards national security and sustainable development.</w:t>
            </w:r>
          </w:p>
          <w:p w14:paraId="320DB133" w14:textId="77777777" w:rsidR="004116DF" w:rsidRPr="00662CBC" w:rsidRDefault="004116DF" w:rsidP="006064D6">
            <w:r w:rsidRPr="00662CBC">
              <w:t xml:space="preserve">[…] Women in the Armed Forces of Armenia </w:t>
            </w:r>
            <w:proofErr w:type="gramStart"/>
            <w:r w:rsidRPr="00662CBC">
              <w:t>As</w:t>
            </w:r>
            <w:proofErr w:type="gramEnd"/>
            <w:r w:rsidRPr="00662CBC">
              <w:t xml:space="preserve"> expected, the situation is much worse in the Ministry of Defense. There are a few women in middle management roles, such as in the Human Rights and Integrity Center and in the Department of Social Affairs of the MoD. According to the Ombudsperson’s 2021 annual communication, women composed 9,5% of the contractual service personnel of the Armed Forces of Armenia. 14,3% of the officer corps (4,7% senior officers, 9,6% junior </w:t>
            </w:r>
            <w:r w:rsidRPr="00662CBC">
              <w:lastRenderedPageBreak/>
              <w:t xml:space="preserve">officers), 34,9% of senior non-commissioned officers, 50,8% of junior non-commissioned officers and privates are women. A positive development had been the prioritization of the involvement of women in peacekeeping in 2017. In 2019, the number of servicewomen in the Peacekeeping Brigade increased by 8% compared to 2018, and their number in the UN and NATO peacekeeping operations increased by 60%. After the September 2022 attack, the MoD of Armenia started organizing trainings teaching interested civilian women to use firearms. </w:t>
            </w:r>
          </w:p>
          <w:p w14:paraId="00557F2D" w14:textId="07DC8602" w:rsidR="004116DF" w:rsidRPr="00662CBC" w:rsidRDefault="004116DF" w:rsidP="006064D6">
            <w:r w:rsidRPr="00662CBC">
              <w:t>The number of women taking part in the trainings by non-governmental organizations aimed to strengthen civil defense skills of civilians has been increasing as well. However, there are no women in visible leadership positions in the Armed Forces.</w:t>
            </w:r>
          </w:p>
          <w:p w14:paraId="6AFC94F9" w14:textId="77777777" w:rsidR="004116DF" w:rsidRPr="00662CBC" w:rsidRDefault="004116DF" w:rsidP="006064D6">
            <w:r w:rsidRPr="00662CBC">
              <w:rPr>
                <w:b/>
                <w:bCs/>
              </w:rPr>
              <w:t>The Armenian public</w:t>
            </w:r>
            <w:r w:rsidRPr="00662CBC">
              <w:t xml:space="preserve"> </w:t>
            </w:r>
            <w:r w:rsidRPr="00662CBC">
              <w:rPr>
                <w:b/>
                <w:bCs/>
              </w:rPr>
              <w:t>holds mixed views</w:t>
            </w:r>
            <w:r w:rsidRPr="00662CBC">
              <w:t xml:space="preserve"> about women’s military service. Some believe that considering the increased </w:t>
            </w:r>
            <w:r w:rsidRPr="00662CBC">
              <w:lastRenderedPageBreak/>
              <w:t xml:space="preserve">security challenges for Armenia, women should also serve in the army along with men, like in Israel that is perceived as a country with similarly severe security challenges. The Secretary of the Security Council, Armen </w:t>
            </w:r>
            <w:proofErr w:type="spellStart"/>
            <w:r w:rsidRPr="00662CBC">
              <w:t>Grigoryan</w:t>
            </w:r>
            <w:proofErr w:type="spellEnd"/>
            <w:r w:rsidRPr="00662CBC">
              <w:t>, has touched upon it in public statements.”</w:t>
            </w:r>
            <w:r w:rsidRPr="005D2F5A">
              <w:rPr>
                <w:rStyle w:val="FootnoteReference"/>
              </w:rPr>
              <w:footnoteReference w:id="27"/>
            </w:r>
          </w:p>
        </w:tc>
        <w:tc>
          <w:tcPr>
            <w:tcW w:w="949" w:type="pct"/>
            <w:shd w:val="clear" w:color="auto" w:fill="auto"/>
          </w:tcPr>
          <w:p w14:paraId="7B583EDC" w14:textId="005DAE0C" w:rsidR="004116DF" w:rsidRPr="00662CBC" w:rsidRDefault="00CE7F05" w:rsidP="000463F4">
            <w:pPr>
              <w:rPr>
                <w:b/>
                <w:bCs/>
              </w:rPr>
            </w:pPr>
            <w:r>
              <w:rPr>
                <w:b/>
                <w:bCs/>
              </w:rPr>
              <w:lastRenderedPageBreak/>
              <w:t>Mandatory</w:t>
            </w:r>
            <w:r w:rsidR="004116DF" w:rsidRPr="00662CBC">
              <w:rPr>
                <w:b/>
                <w:bCs/>
              </w:rPr>
              <w:t xml:space="preserve"> service for me</w:t>
            </w:r>
            <w:r w:rsidR="00ED4628">
              <w:rPr>
                <w:b/>
                <w:bCs/>
              </w:rPr>
              <w:t>n,</w:t>
            </w:r>
            <w:r w:rsidR="004116DF" w:rsidRPr="00662CBC">
              <w:rPr>
                <w:b/>
                <w:bCs/>
              </w:rPr>
              <w:t xml:space="preserve"> voluntary </w:t>
            </w:r>
            <w:r w:rsidR="00ED4628">
              <w:rPr>
                <w:b/>
                <w:bCs/>
              </w:rPr>
              <w:t xml:space="preserve">service </w:t>
            </w:r>
            <w:r w:rsidR="004116DF" w:rsidRPr="00662CBC">
              <w:rPr>
                <w:b/>
                <w:bCs/>
              </w:rPr>
              <w:t>for women.</w:t>
            </w:r>
          </w:p>
          <w:p w14:paraId="2C72A024" w14:textId="33B7C2C0" w:rsidR="004116DF" w:rsidRPr="00662CBC" w:rsidRDefault="004116DF" w:rsidP="000463F4">
            <w:pPr>
              <w:rPr>
                <w:b/>
                <w:bCs/>
              </w:rPr>
            </w:pPr>
            <w:r w:rsidRPr="00662CBC">
              <w:rPr>
                <w:b/>
                <w:bCs/>
              </w:rPr>
              <w:lastRenderedPageBreak/>
              <w:t>Conscription exists for men.</w:t>
            </w:r>
          </w:p>
          <w:p w14:paraId="028804BC" w14:textId="77777777" w:rsidR="004116DF" w:rsidRPr="00662CBC" w:rsidRDefault="004116DF" w:rsidP="00C81098">
            <w:r w:rsidRPr="00662CBC">
              <w:t>“18-27 for voluntary/contract (men and women) or compulsory (men) military service; contract military service is 3-12 months or 3 or 5 years; conscripts serve 24 months; men under the age of 36, who have not previously served as contract servicemen and are registered in the reserve, as well as women, regardless of whether they are registered in the reserve can be enrolled in contractual military service; all citizens aged 27 to 50 are registered in the military reserve and may be called to serve if mobilization is declared (2022)</w:t>
            </w:r>
            <w:r w:rsidRPr="00662CBC">
              <w:br/>
            </w:r>
            <w:r w:rsidRPr="00662CBC">
              <w:br/>
            </w:r>
            <w:r w:rsidRPr="00662CBC">
              <w:rPr>
                <w:b/>
                <w:bCs/>
              </w:rPr>
              <w:t>note:</w:t>
            </w:r>
            <w:r w:rsidRPr="00662CBC">
              <w:t> as of 2021, conscripts comprised about half of the military's active personnel; as of 2018, women made up about 13% of the active duty military”</w:t>
            </w:r>
            <w:r w:rsidRPr="005D2F5A">
              <w:rPr>
                <w:rStyle w:val="FootnoteReference"/>
              </w:rPr>
              <w:footnoteReference w:id="28"/>
            </w:r>
          </w:p>
          <w:p w14:paraId="74786808" w14:textId="77777777" w:rsidR="004116DF" w:rsidRPr="00662CBC" w:rsidRDefault="004116DF" w:rsidP="00C81098"/>
          <w:p w14:paraId="4280F49D" w14:textId="35A63999" w:rsidR="004116DF" w:rsidRPr="00662CBC" w:rsidRDefault="004116DF" w:rsidP="00C81098">
            <w:r w:rsidRPr="00662CBC">
              <w:rPr>
                <w:b/>
                <w:bCs/>
              </w:rPr>
              <w:lastRenderedPageBreak/>
              <w:t>Voluntary conscription for women is being considered</w:t>
            </w:r>
            <w:r w:rsidRPr="005D2F5A">
              <w:rPr>
                <w:rStyle w:val="FootnoteReference"/>
              </w:rPr>
              <w:footnoteReference w:id="29"/>
            </w:r>
          </w:p>
        </w:tc>
        <w:tc>
          <w:tcPr>
            <w:tcW w:w="677" w:type="pct"/>
            <w:shd w:val="clear" w:color="auto" w:fill="auto"/>
          </w:tcPr>
          <w:p w14:paraId="76EBF410" w14:textId="3F9304D3" w:rsidR="004116DF" w:rsidRPr="00662CBC" w:rsidRDefault="00000000" w:rsidP="00690B84">
            <w:hyperlink r:id="rId11" w:history="1">
              <w:r w:rsidR="004116DF" w:rsidRPr="00144B88">
                <w:rPr>
                  <w:rStyle w:val="Hyperlink"/>
                  <w:b/>
                  <w:bCs/>
                </w:rPr>
                <w:t>NAP 2019-2021</w:t>
              </w:r>
            </w:hyperlink>
            <w:r w:rsidR="004116DF" w:rsidRPr="00662CBC">
              <w:t xml:space="preserve">: “Armenia’s NAP focuses heavily on increasing </w:t>
            </w:r>
            <w:r w:rsidR="004116DF" w:rsidRPr="00662CBC">
              <w:lastRenderedPageBreak/>
              <w:t>women’s participation in and awareness of the protection of women’s rights within the defense system (military, police, and peacekeeping missions).”</w:t>
            </w:r>
            <w:r w:rsidR="004116DF" w:rsidRPr="005D2F5A">
              <w:rPr>
                <w:rStyle w:val="FootnoteReference"/>
              </w:rPr>
              <w:footnoteReference w:id="30"/>
            </w:r>
          </w:p>
        </w:tc>
      </w:tr>
      <w:tr w:rsidR="005A7203" w:rsidRPr="00662CBC" w14:paraId="2F62328F" w14:textId="77777777" w:rsidTr="00F37D6B">
        <w:tc>
          <w:tcPr>
            <w:tcW w:w="139" w:type="pct"/>
            <w:shd w:val="clear" w:color="auto" w:fill="auto"/>
          </w:tcPr>
          <w:p w14:paraId="580A835F"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265EAD94" w14:textId="77777777" w:rsidR="004116DF" w:rsidRPr="00662CBC" w:rsidRDefault="004116DF" w:rsidP="006064D6">
            <w:pPr>
              <w:pStyle w:val="Heading3"/>
              <w:rPr>
                <w:szCs w:val="20"/>
              </w:rPr>
            </w:pPr>
            <w:bookmarkStart w:id="8" w:name="_Toc132806692"/>
            <w:r w:rsidRPr="00662CBC">
              <w:rPr>
                <w:szCs w:val="20"/>
              </w:rPr>
              <w:t>Austria</w:t>
            </w:r>
            <w:bookmarkEnd w:id="8"/>
            <w:r w:rsidRPr="00662CBC">
              <w:rPr>
                <w:szCs w:val="20"/>
              </w:rPr>
              <w:t xml:space="preserve"> </w:t>
            </w:r>
          </w:p>
          <w:p w14:paraId="1935C6FB" w14:textId="77777777" w:rsidR="004116DF" w:rsidRPr="00662CBC" w:rsidRDefault="004116DF" w:rsidP="006064D6">
            <w:pPr>
              <w:spacing w:after="0"/>
              <w:rPr>
                <w:b/>
                <w:bCs/>
                <w:szCs w:val="20"/>
              </w:rPr>
            </w:pPr>
          </w:p>
        </w:tc>
        <w:tc>
          <w:tcPr>
            <w:tcW w:w="855" w:type="pct"/>
            <w:shd w:val="clear" w:color="auto" w:fill="auto"/>
          </w:tcPr>
          <w:p w14:paraId="18D449C2" w14:textId="7DDFFCCE" w:rsidR="004116DF" w:rsidRPr="00662CBC" w:rsidRDefault="004116DF" w:rsidP="00E35B59">
            <w:r w:rsidRPr="00662CBC">
              <w:t xml:space="preserve">s. NDC submitted by EU </w:t>
            </w:r>
          </w:p>
        </w:tc>
        <w:tc>
          <w:tcPr>
            <w:tcW w:w="1023" w:type="pct"/>
            <w:shd w:val="clear" w:color="auto" w:fill="auto"/>
          </w:tcPr>
          <w:p w14:paraId="66E6F8F9" w14:textId="5AE1605A" w:rsidR="004116DF" w:rsidRPr="00662CBC" w:rsidRDefault="004116DF" w:rsidP="00E35B59">
            <w:r w:rsidRPr="00662CBC">
              <w:rPr>
                <w:b/>
                <w:bCs/>
              </w:rPr>
              <w:t>Legislated quota</w:t>
            </w:r>
            <w:r w:rsidRPr="00662CBC">
              <w:t xml:space="preserve"> of 50%</w:t>
            </w:r>
          </w:p>
          <w:p w14:paraId="6546DC32" w14:textId="7E6619ED" w:rsidR="004116DF" w:rsidRPr="00662CBC" w:rsidRDefault="004116DF" w:rsidP="00E35B59">
            <w:r w:rsidRPr="00662CBC">
              <w:rPr>
                <w:b/>
                <w:bCs/>
                <w:u w:val="single"/>
              </w:rPr>
              <w:t>Federal Equal Treatment Act, §§11-11d</w:t>
            </w:r>
            <w:r w:rsidRPr="00662CBC">
              <w:t>: preferential treatment for hiring and promotion if the threshold of 50% is not reached</w:t>
            </w:r>
            <w:r w:rsidRPr="005D2F5A">
              <w:rPr>
                <w:rStyle w:val="FootnoteReference"/>
              </w:rPr>
              <w:footnoteReference w:id="31"/>
            </w:r>
          </w:p>
          <w:p w14:paraId="2DFD8FEF" w14:textId="2A0F379F" w:rsidR="004116DF" w:rsidRPr="00662CBC" w:rsidRDefault="004116DF" w:rsidP="00E35B59">
            <w:r w:rsidRPr="00662CBC">
              <w:rPr>
                <w:b/>
                <w:bCs/>
              </w:rPr>
              <w:t xml:space="preserve">Before that: </w:t>
            </w:r>
            <w:r w:rsidRPr="00662CBC">
              <w:t>a quota of 40%</w:t>
            </w:r>
          </w:p>
          <w:p w14:paraId="1AB2290F" w14:textId="77777777" w:rsidR="004116DF" w:rsidRDefault="004116DF" w:rsidP="00E35B59">
            <w:r w:rsidRPr="00662CBC">
              <w:t xml:space="preserve">“The Austrian Foreign Ministry regulations provide, inter alia, that a woman applying for a post who is equally qualified with a male candidate must be awarded the post until a quota of 40% women in leading positions has been attained. This positive discrimination has a definite positive effect. The quota of female leading </w:t>
            </w:r>
            <w:r w:rsidRPr="00662CBC">
              <w:lastRenderedPageBreak/>
              <w:t>officials within the Foreign Ministry has already risen from 10% in 1994 to 21% at present.”</w:t>
            </w:r>
            <w:r w:rsidRPr="005D2F5A">
              <w:rPr>
                <w:rStyle w:val="FootnoteReference"/>
              </w:rPr>
              <w:footnoteReference w:id="32"/>
            </w:r>
          </w:p>
          <w:p w14:paraId="3EBC993C" w14:textId="77777777" w:rsidR="008F0F41" w:rsidRDefault="008F0F41" w:rsidP="00E35B59"/>
          <w:p w14:paraId="644F570E" w14:textId="77777777" w:rsidR="008F0F41" w:rsidRPr="009043EC" w:rsidRDefault="008F0F41" w:rsidP="008F0F41">
            <w:r w:rsidRPr="009043EC">
              <w:rPr>
                <w:b/>
                <w:bCs/>
              </w:rPr>
              <w:t>Concluding Observations</w:t>
            </w:r>
            <w:r>
              <w:rPr>
                <w:b/>
                <w:bCs/>
              </w:rPr>
              <w:t xml:space="preserve"> </w:t>
            </w:r>
            <w:r>
              <w:t>(2019):</w:t>
            </w:r>
          </w:p>
          <w:p w14:paraId="52CBA022" w14:textId="77777777" w:rsidR="008F0F41" w:rsidRDefault="008F0F41" w:rsidP="008F0F41">
            <w:pPr>
              <w:rPr>
                <w:b/>
                <w:bCs/>
              </w:rPr>
            </w:pPr>
            <w:r>
              <w:t>“</w:t>
            </w:r>
            <w:r w:rsidRPr="000D2BF6">
              <w:t>27.</w:t>
            </w:r>
            <w:r w:rsidRPr="000D2BF6">
              <w:rPr>
                <w:b/>
                <w:bCs/>
              </w:rPr>
              <w:t xml:space="preserve"> The Committee recommends that the State party: </w:t>
            </w:r>
          </w:p>
          <w:p w14:paraId="68CB0F57" w14:textId="77777777" w:rsidR="008F0F41" w:rsidRDefault="008F0F41" w:rsidP="008F0F41">
            <w:r w:rsidRPr="000D2BF6">
              <w:t xml:space="preserve">(d) </w:t>
            </w:r>
            <w:r w:rsidRPr="009043EC">
              <w:rPr>
                <w:b/>
                <w:bCs/>
              </w:rPr>
              <w:t xml:space="preserve">Establish legislated quotas for the equal representation of women and men in all appointed and elected positions in the State party, </w:t>
            </w:r>
            <w:proofErr w:type="gramStart"/>
            <w:r w:rsidRPr="009043EC">
              <w:rPr>
                <w:b/>
                <w:bCs/>
              </w:rPr>
              <w:t>in particular in</w:t>
            </w:r>
            <w:proofErr w:type="gramEnd"/>
            <w:r w:rsidRPr="009043EC">
              <w:rPr>
                <w:b/>
                <w:bCs/>
              </w:rPr>
              <w:t xml:space="preserve"> local government, senior leadership positions, the armed forces, the foreign service and the judiciary, and encourage the trade unions to do the same.</w:t>
            </w:r>
            <w:r>
              <w:t>”</w:t>
            </w:r>
            <w:r>
              <w:rPr>
                <w:rStyle w:val="FootnoteReference"/>
              </w:rPr>
              <w:footnoteReference w:id="33"/>
            </w:r>
          </w:p>
          <w:p w14:paraId="67819147" w14:textId="2D74DFE8" w:rsidR="008F0F41" w:rsidRPr="00662CBC" w:rsidRDefault="008F0F41" w:rsidP="00E35B59"/>
        </w:tc>
        <w:tc>
          <w:tcPr>
            <w:tcW w:w="903" w:type="pct"/>
            <w:shd w:val="clear" w:color="auto" w:fill="auto"/>
          </w:tcPr>
          <w:p w14:paraId="6D3CECDB" w14:textId="77777777" w:rsidR="004116DF" w:rsidRPr="00662CBC" w:rsidRDefault="001C5197" w:rsidP="0089198F">
            <w:r w:rsidRPr="00662CBC">
              <w:lastRenderedPageBreak/>
              <w:t>—</w:t>
            </w:r>
          </w:p>
          <w:p w14:paraId="2DE15AA8" w14:textId="77777777" w:rsidR="001C5197" w:rsidRDefault="001C5197" w:rsidP="0089198F">
            <w:r w:rsidRPr="00662CBC">
              <w:t xml:space="preserve">It is unclear whether </w:t>
            </w:r>
            <w:r w:rsidRPr="00662CBC">
              <w:rPr>
                <w:b/>
                <w:bCs/>
                <w:u w:val="single"/>
              </w:rPr>
              <w:t xml:space="preserve">§§11-11d of the Federal Equal Treatment Act </w:t>
            </w:r>
            <w:r w:rsidRPr="00662CBC">
              <w:t xml:space="preserve">apply to the Security Forces or not. </w:t>
            </w:r>
            <w:r w:rsidR="00EA1A36" w:rsidRPr="00662CBC">
              <w:t xml:space="preserve">§ 47(19) (which stipulated when §§11a-11d enter into force), does not exclude military service </w:t>
            </w:r>
            <w:r w:rsidR="00610B3C" w:rsidRPr="00662CBC">
              <w:t>from the scope – the section does exclude military service from other provisions (see: §47(17)).</w:t>
            </w:r>
            <w:r w:rsidR="00610B3C" w:rsidRPr="00662CBC">
              <w:rPr>
                <w:rStyle w:val="FootnoteReference"/>
              </w:rPr>
              <w:t xml:space="preserve"> </w:t>
            </w:r>
            <w:r w:rsidR="00610B3C" w:rsidRPr="005D2F5A">
              <w:rPr>
                <w:rStyle w:val="FootnoteReference"/>
              </w:rPr>
              <w:footnoteReference w:id="34"/>
            </w:r>
          </w:p>
          <w:p w14:paraId="27F3984E" w14:textId="77777777" w:rsidR="008F0F41" w:rsidRDefault="008F0F41" w:rsidP="0089198F"/>
          <w:p w14:paraId="4726C206" w14:textId="77777777" w:rsidR="008F0F41" w:rsidRPr="009043EC" w:rsidRDefault="008F0F41" w:rsidP="008F0F41">
            <w:r w:rsidRPr="009043EC">
              <w:rPr>
                <w:b/>
                <w:bCs/>
              </w:rPr>
              <w:t>Concluding Observations</w:t>
            </w:r>
            <w:r>
              <w:rPr>
                <w:b/>
                <w:bCs/>
              </w:rPr>
              <w:t xml:space="preserve"> </w:t>
            </w:r>
            <w:r>
              <w:t>(2019):</w:t>
            </w:r>
          </w:p>
          <w:p w14:paraId="34EE4A47" w14:textId="77777777" w:rsidR="008F0F41" w:rsidRDefault="008F0F41" w:rsidP="008F0F41">
            <w:pPr>
              <w:rPr>
                <w:b/>
                <w:bCs/>
              </w:rPr>
            </w:pPr>
            <w:r>
              <w:lastRenderedPageBreak/>
              <w:t>“</w:t>
            </w:r>
            <w:r w:rsidRPr="000D2BF6">
              <w:t>27.</w:t>
            </w:r>
            <w:r w:rsidRPr="000D2BF6">
              <w:rPr>
                <w:b/>
                <w:bCs/>
              </w:rPr>
              <w:t xml:space="preserve"> The Committee recommends that the State party: </w:t>
            </w:r>
          </w:p>
          <w:p w14:paraId="34A4676D" w14:textId="77777777" w:rsidR="008F0F41" w:rsidRDefault="008F0F41" w:rsidP="008F0F41">
            <w:r w:rsidRPr="000D2BF6">
              <w:t xml:space="preserve">(d) </w:t>
            </w:r>
            <w:r w:rsidRPr="009043EC">
              <w:rPr>
                <w:b/>
                <w:bCs/>
              </w:rPr>
              <w:t xml:space="preserve">Establish legislated quotas for the equal representation of women and men in all appointed and elected positions in the State party, </w:t>
            </w:r>
            <w:proofErr w:type="gramStart"/>
            <w:r w:rsidRPr="009043EC">
              <w:rPr>
                <w:b/>
                <w:bCs/>
              </w:rPr>
              <w:t>in particular in</w:t>
            </w:r>
            <w:proofErr w:type="gramEnd"/>
            <w:r w:rsidRPr="009043EC">
              <w:rPr>
                <w:b/>
                <w:bCs/>
              </w:rPr>
              <w:t xml:space="preserve"> local government, senior leadership positions, the armed forces, the foreign service and the judiciary, and encourage the trade unions to do the same.</w:t>
            </w:r>
            <w:r>
              <w:t>”</w:t>
            </w:r>
            <w:r>
              <w:rPr>
                <w:rStyle w:val="FootnoteReference"/>
              </w:rPr>
              <w:footnoteReference w:id="35"/>
            </w:r>
          </w:p>
          <w:p w14:paraId="70AF520B" w14:textId="40FDD3CC" w:rsidR="008F0F41" w:rsidRPr="00662CBC" w:rsidRDefault="008F0F41" w:rsidP="0089198F">
            <w:pPr>
              <w:rPr>
                <w:b/>
                <w:bCs/>
              </w:rPr>
            </w:pPr>
          </w:p>
        </w:tc>
        <w:tc>
          <w:tcPr>
            <w:tcW w:w="949" w:type="pct"/>
            <w:shd w:val="clear" w:color="auto" w:fill="auto"/>
          </w:tcPr>
          <w:p w14:paraId="1BE05B37" w14:textId="77777777" w:rsidR="004116DF" w:rsidRPr="00662CBC" w:rsidRDefault="004116DF" w:rsidP="00DB5430">
            <w:pPr>
              <w:rPr>
                <w:b/>
                <w:bCs/>
                <w:szCs w:val="20"/>
              </w:rPr>
            </w:pPr>
            <w:r w:rsidRPr="00662CBC">
              <w:rPr>
                <w:b/>
                <w:bCs/>
                <w:szCs w:val="20"/>
              </w:rPr>
              <w:lastRenderedPageBreak/>
              <w:t xml:space="preserve">Compulsory military service for men, voluntary for women </w:t>
            </w:r>
          </w:p>
          <w:p w14:paraId="0918161D" w14:textId="77777777" w:rsidR="004116DF" w:rsidRPr="00662CBC" w:rsidRDefault="004116DF" w:rsidP="00DB5430">
            <w:pPr>
              <w:rPr>
                <w:szCs w:val="20"/>
              </w:rPr>
            </w:pPr>
            <w:r w:rsidRPr="00662CBC">
              <w:rPr>
                <w:szCs w:val="20"/>
              </w:rPr>
              <w:t>“</w:t>
            </w:r>
            <w:proofErr w:type="gramStart"/>
            <w:r w:rsidRPr="00662CBC">
              <w:rPr>
                <w:szCs w:val="20"/>
              </w:rPr>
              <w:t>registration</w:t>
            </w:r>
            <w:proofErr w:type="gramEnd"/>
            <w:r w:rsidRPr="00662CBC">
              <w:rPr>
                <w:szCs w:val="20"/>
              </w:rPr>
              <w:t xml:space="preserve"> requirement at age 17, the legal minimum age for voluntary military service; men above the age of 18 are subject to compulsory military service; women may volunteer; compulsory service is for 6 months, or optionally, alternative civil/community service (</w:t>
            </w:r>
            <w:proofErr w:type="spellStart"/>
            <w:r w:rsidRPr="00662CBC">
              <w:rPr>
                <w:szCs w:val="20"/>
              </w:rPr>
              <w:t>Zivildienst</w:t>
            </w:r>
            <w:proofErr w:type="spellEnd"/>
            <w:r w:rsidRPr="00662CBC">
              <w:rPr>
                <w:szCs w:val="20"/>
              </w:rPr>
              <w:t xml:space="preserve">) for 9 months (2022) </w:t>
            </w:r>
          </w:p>
          <w:p w14:paraId="7C1514CC" w14:textId="77777777" w:rsidR="004116DF" w:rsidRPr="00662CBC" w:rsidRDefault="004116DF" w:rsidP="00DB5430">
            <w:pPr>
              <w:rPr>
                <w:szCs w:val="20"/>
              </w:rPr>
            </w:pPr>
            <w:r w:rsidRPr="00662CBC">
              <w:rPr>
                <w:b/>
                <w:bCs/>
                <w:szCs w:val="20"/>
              </w:rPr>
              <w:t>note 1</w:t>
            </w:r>
            <w:r w:rsidRPr="00662CBC">
              <w:rPr>
                <w:szCs w:val="20"/>
              </w:rPr>
              <w:t xml:space="preserve">: as of 2019, women made up about 4% of the military's full-time </w:t>
            </w:r>
            <w:proofErr w:type="gramStart"/>
            <w:r w:rsidRPr="00662CBC">
              <w:rPr>
                <w:szCs w:val="20"/>
              </w:rPr>
              <w:t>personnel</w:t>
            </w:r>
            <w:proofErr w:type="gramEnd"/>
            <w:r w:rsidRPr="00662CBC">
              <w:rPr>
                <w:szCs w:val="20"/>
              </w:rPr>
              <w:t xml:space="preserve"> </w:t>
            </w:r>
          </w:p>
          <w:p w14:paraId="45FC333D" w14:textId="6EF4688F" w:rsidR="004116DF" w:rsidRPr="00662CBC" w:rsidRDefault="004116DF" w:rsidP="00DB5430">
            <w:pPr>
              <w:rPr>
                <w:szCs w:val="20"/>
              </w:rPr>
            </w:pPr>
            <w:r w:rsidRPr="00662CBC">
              <w:rPr>
                <w:b/>
                <w:bCs/>
                <w:szCs w:val="20"/>
              </w:rPr>
              <w:lastRenderedPageBreak/>
              <w:t>note 2</w:t>
            </w:r>
            <w:r w:rsidRPr="00662CBC">
              <w:rPr>
                <w:szCs w:val="20"/>
              </w:rPr>
              <w:t xml:space="preserve">: in a January 2013 referendum, a majority of Austrians voted in favor of retaining the system of compulsory military service (with the option of alternative/non-military service) instead of switching to a professional army system; approximately 40% of those liable to compulsory service have opted in favor </w:t>
            </w:r>
            <w:proofErr w:type="gramStart"/>
            <w:r w:rsidRPr="00662CBC">
              <w:rPr>
                <w:szCs w:val="20"/>
              </w:rPr>
              <w:t>of  alternative</w:t>
            </w:r>
            <w:proofErr w:type="gramEnd"/>
            <w:r w:rsidRPr="00662CBC">
              <w:rPr>
                <w:szCs w:val="20"/>
              </w:rPr>
              <w:t xml:space="preserve"> civil/community service”</w:t>
            </w:r>
            <w:r w:rsidRPr="005D2F5A">
              <w:rPr>
                <w:rStyle w:val="FootnoteReference"/>
              </w:rPr>
              <w:footnoteReference w:id="36"/>
            </w:r>
          </w:p>
          <w:p w14:paraId="33EED4D5" w14:textId="00B1F598" w:rsidR="004116DF" w:rsidRPr="00662CBC" w:rsidRDefault="00062E9B" w:rsidP="00062E9B">
            <w:pPr>
              <w:rPr>
                <w:szCs w:val="20"/>
              </w:rPr>
            </w:pPr>
            <w:r>
              <w:rPr>
                <w:b/>
                <w:bCs/>
                <w:szCs w:val="20"/>
              </w:rPr>
              <w:t xml:space="preserve">Note: </w:t>
            </w:r>
            <w:r w:rsidR="004116DF" w:rsidRPr="00662CBC">
              <w:rPr>
                <w:szCs w:val="20"/>
              </w:rPr>
              <w:t>Mandatory military service for women is occasionally being discussed in the media</w:t>
            </w:r>
            <w:r w:rsidR="00E35222">
              <w:rPr>
                <w:szCs w:val="20"/>
              </w:rPr>
              <w:t>.</w:t>
            </w:r>
          </w:p>
          <w:p w14:paraId="49ACEB7A" w14:textId="4124982D" w:rsidR="004116DF" w:rsidRPr="00662CBC" w:rsidRDefault="004116DF" w:rsidP="000A017C">
            <w:pPr>
              <w:rPr>
                <w:szCs w:val="20"/>
              </w:rPr>
            </w:pPr>
          </w:p>
        </w:tc>
        <w:tc>
          <w:tcPr>
            <w:tcW w:w="677" w:type="pct"/>
            <w:shd w:val="clear" w:color="auto" w:fill="auto"/>
          </w:tcPr>
          <w:p w14:paraId="58981063" w14:textId="71A5A4BE" w:rsidR="004116DF" w:rsidRPr="00662CBC" w:rsidRDefault="00000000" w:rsidP="00E35B59">
            <w:pPr>
              <w:rPr>
                <w:b/>
                <w:bCs/>
                <w:szCs w:val="20"/>
              </w:rPr>
            </w:pPr>
            <w:hyperlink r:id="rId12" w:history="1">
              <w:r w:rsidR="004116DF" w:rsidRPr="00144B88">
                <w:rPr>
                  <w:rStyle w:val="Hyperlink"/>
                  <w:b/>
                  <w:bCs/>
                  <w:szCs w:val="20"/>
                </w:rPr>
                <w:t>NAP (2007)</w:t>
              </w:r>
            </w:hyperlink>
          </w:p>
          <w:p w14:paraId="5509A0C1" w14:textId="190ACE51" w:rsidR="004116DF" w:rsidRPr="00662CBC" w:rsidRDefault="00000000" w:rsidP="00E35B59">
            <w:pPr>
              <w:rPr>
                <w:b/>
                <w:bCs/>
                <w:szCs w:val="20"/>
              </w:rPr>
            </w:pPr>
            <w:hyperlink r:id="rId13" w:history="1">
              <w:r w:rsidR="004116DF" w:rsidRPr="00144B88">
                <w:rPr>
                  <w:rStyle w:val="Hyperlink"/>
                  <w:b/>
                  <w:bCs/>
                  <w:szCs w:val="20"/>
                </w:rPr>
                <w:t>NAP (2012)</w:t>
              </w:r>
            </w:hyperlink>
            <w:r w:rsidR="004116DF" w:rsidRPr="00662CBC">
              <w:rPr>
                <w:szCs w:val="20"/>
              </w:rPr>
              <w:t xml:space="preserve"> </w:t>
            </w:r>
          </w:p>
          <w:p w14:paraId="2890AAC7" w14:textId="77777777" w:rsidR="004116DF" w:rsidRPr="00662CBC" w:rsidRDefault="004116DF" w:rsidP="00E35B59">
            <w:pPr>
              <w:rPr>
                <w:szCs w:val="20"/>
              </w:rPr>
            </w:pPr>
            <w:r w:rsidRPr="00662CBC">
              <w:rPr>
                <w:szCs w:val="20"/>
              </w:rPr>
              <w:t>- both without a</w:t>
            </w:r>
            <w:r w:rsidRPr="00662CBC">
              <w:t xml:space="preserve"> </w:t>
            </w:r>
            <w:r w:rsidRPr="00662CBC">
              <w:rPr>
                <w:szCs w:val="20"/>
              </w:rPr>
              <w:t>specific period of implementation</w:t>
            </w:r>
          </w:p>
          <w:p w14:paraId="67555A19" w14:textId="2DD67114" w:rsidR="004116DF" w:rsidRPr="00662CBC" w:rsidRDefault="004116DF" w:rsidP="00E35B59">
            <w:pPr>
              <w:rPr>
                <w:szCs w:val="20"/>
              </w:rPr>
            </w:pPr>
            <w:r w:rsidRPr="00662CBC">
              <w:rPr>
                <w:szCs w:val="20"/>
              </w:rPr>
              <w:t>- does list the current % of women in leadership position – no specific quota</w:t>
            </w:r>
            <w:r w:rsidRPr="005D2F5A">
              <w:rPr>
                <w:rStyle w:val="FootnoteReference"/>
              </w:rPr>
              <w:footnoteReference w:id="37"/>
            </w:r>
          </w:p>
          <w:p w14:paraId="10EB5680" w14:textId="09784E02" w:rsidR="004116DF" w:rsidRPr="00662CBC" w:rsidRDefault="004116DF" w:rsidP="00E35B59">
            <w:pPr>
              <w:rPr>
                <w:szCs w:val="20"/>
              </w:rPr>
            </w:pPr>
          </w:p>
        </w:tc>
      </w:tr>
      <w:tr w:rsidR="005A7203" w:rsidRPr="00662CBC" w14:paraId="03A46E84" w14:textId="77777777" w:rsidTr="00F37D6B">
        <w:tc>
          <w:tcPr>
            <w:tcW w:w="139" w:type="pct"/>
            <w:shd w:val="clear" w:color="auto" w:fill="auto"/>
          </w:tcPr>
          <w:p w14:paraId="653A6B6B"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0D37CF0D" w14:textId="77777777" w:rsidR="004116DF" w:rsidRPr="00662CBC" w:rsidRDefault="004116DF" w:rsidP="006064D6">
            <w:pPr>
              <w:pStyle w:val="Heading3"/>
              <w:rPr>
                <w:szCs w:val="20"/>
              </w:rPr>
            </w:pPr>
            <w:bookmarkStart w:id="9" w:name="_Toc132806693"/>
            <w:r w:rsidRPr="00662CBC">
              <w:rPr>
                <w:szCs w:val="20"/>
              </w:rPr>
              <w:t>Azerbaijan</w:t>
            </w:r>
            <w:bookmarkEnd w:id="9"/>
          </w:p>
          <w:p w14:paraId="310EDDC5" w14:textId="77777777" w:rsidR="004116DF" w:rsidRPr="00662CBC" w:rsidRDefault="004116DF" w:rsidP="006064D6">
            <w:pPr>
              <w:rPr>
                <w:szCs w:val="20"/>
              </w:rPr>
            </w:pPr>
          </w:p>
        </w:tc>
        <w:tc>
          <w:tcPr>
            <w:tcW w:w="855" w:type="pct"/>
            <w:shd w:val="clear" w:color="auto" w:fill="auto"/>
          </w:tcPr>
          <w:p w14:paraId="2020DDB9" w14:textId="37E823DA" w:rsidR="004116DF" w:rsidRPr="00662CBC" w:rsidRDefault="004116DF" w:rsidP="00A47701">
            <w:r w:rsidRPr="00662CBC">
              <w:rPr>
                <w:b/>
                <w:bCs/>
              </w:rPr>
              <w:t>NDC 2015-2030</w:t>
            </w:r>
            <w:r w:rsidRPr="00662CBC">
              <w:t xml:space="preserve">: does not mention gender/women </w:t>
            </w:r>
            <w:r w:rsidRPr="005D2F5A">
              <w:rPr>
                <w:rStyle w:val="FootnoteReference"/>
              </w:rPr>
              <w:footnoteReference w:id="38"/>
            </w:r>
          </w:p>
        </w:tc>
        <w:tc>
          <w:tcPr>
            <w:tcW w:w="1023" w:type="pct"/>
            <w:shd w:val="clear" w:color="auto" w:fill="auto"/>
          </w:tcPr>
          <w:p w14:paraId="30F040B1" w14:textId="2F53D625" w:rsidR="004116DF" w:rsidRPr="00662CBC" w:rsidRDefault="004116DF" w:rsidP="00EF31BD">
            <w:r w:rsidRPr="00662CBC">
              <w:rPr>
                <w:b/>
                <w:bCs/>
              </w:rPr>
              <w:t>No affirmative action</w:t>
            </w:r>
            <w:r w:rsidRPr="00662CBC">
              <w:t xml:space="preserve">: </w:t>
            </w:r>
            <w:hyperlink r:id="rId14" w:anchor="page=2" w:history="1">
              <w:r w:rsidRPr="00662CBC">
                <w:rPr>
                  <w:rStyle w:val="Hyperlink"/>
                </w:rPr>
                <w:t>Law On State Guarantees of Equal Rights for Women and Men, §7.3</w:t>
              </w:r>
            </w:hyperlink>
            <w:r w:rsidRPr="00662CBC">
              <w:t>:</w:t>
            </w:r>
          </w:p>
          <w:p w14:paraId="23610A98" w14:textId="77777777" w:rsidR="004116DF" w:rsidRDefault="004116DF" w:rsidP="00A47701">
            <w:r w:rsidRPr="00662CBC">
              <w:lastRenderedPageBreak/>
              <w:t>“7.3. No gender-based restrictions or privileges can be applied directly or indirectly during appointment to the state services and services in the state institutions.”</w:t>
            </w:r>
            <w:r w:rsidRPr="00662CBC">
              <w:rPr>
                <w:rStyle w:val="FootnoteReference"/>
              </w:rPr>
              <w:t xml:space="preserve"> </w:t>
            </w:r>
            <w:r w:rsidRPr="005D2F5A">
              <w:rPr>
                <w:rStyle w:val="FootnoteReference"/>
              </w:rPr>
              <w:footnoteReference w:id="39"/>
            </w:r>
          </w:p>
          <w:p w14:paraId="1EEFF0DC" w14:textId="77777777" w:rsidR="002B4A84" w:rsidRDefault="002B4A84" w:rsidP="00A47701"/>
          <w:p w14:paraId="75F7FB17" w14:textId="77777777" w:rsidR="002B4A84" w:rsidRDefault="002B4A84" w:rsidP="002B4A84">
            <w:r w:rsidRPr="009043EC">
              <w:rPr>
                <w:b/>
                <w:bCs/>
              </w:rPr>
              <w:t>Concluding Observations</w:t>
            </w:r>
            <w:r>
              <w:rPr>
                <w:b/>
                <w:bCs/>
              </w:rPr>
              <w:t xml:space="preserve"> </w:t>
            </w:r>
            <w:r>
              <w:t>(2022):</w:t>
            </w:r>
          </w:p>
          <w:p w14:paraId="45689306" w14:textId="77777777" w:rsidR="002B4A84" w:rsidRPr="009043EC" w:rsidRDefault="002B4A84" w:rsidP="002B4A84">
            <w:pPr>
              <w:rPr>
                <w:b/>
                <w:bCs/>
              </w:rPr>
            </w:pPr>
            <w:r>
              <w:t>“</w:t>
            </w:r>
            <w:r w:rsidRPr="009043EC">
              <w:rPr>
                <w:b/>
                <w:bCs/>
              </w:rPr>
              <w:t xml:space="preserve">Participation in political and public life </w:t>
            </w:r>
          </w:p>
          <w:p w14:paraId="57DD15C9" w14:textId="77777777" w:rsidR="002B4A84" w:rsidRDefault="002B4A84" w:rsidP="002B4A84">
            <w:r w:rsidRPr="009043EC">
              <w:t xml:space="preserve">27. The Committee notes with appreciation the notable increase in women who were elected during the municipal elections in December 2019 (38.8 per cent). It remains concerned, however, that women are still underrepresented in decision-making positions, including in the National Assembly, academia, the judiciary, the public </w:t>
            </w:r>
            <w:proofErr w:type="gramStart"/>
            <w:r w:rsidRPr="009043EC">
              <w:t>service</w:t>
            </w:r>
            <w:proofErr w:type="gramEnd"/>
            <w:r w:rsidRPr="009043EC">
              <w:t xml:space="preserve"> and the foreign service. The Committee is also concerned at the lack of targeted measures, including temporary special measures, in line with its general recommendation No. 23 (1997) on women in political and </w:t>
            </w:r>
            <w:r w:rsidRPr="009043EC">
              <w:lastRenderedPageBreak/>
              <w:t>public life, to increase women’s representation in public life</w:t>
            </w:r>
            <w:r>
              <w:t>.</w:t>
            </w:r>
          </w:p>
          <w:p w14:paraId="57999A3B" w14:textId="77777777" w:rsidR="002B4A84" w:rsidRDefault="002B4A84" w:rsidP="002B4A84">
            <w:r w:rsidRPr="009043EC">
              <w:t xml:space="preserve">28. </w:t>
            </w:r>
            <w:r w:rsidRPr="009043EC">
              <w:rPr>
                <w:b/>
                <w:bCs/>
              </w:rPr>
              <w:t>Recalling its general recommendation No. 23, the Committee recommends that the State party</w:t>
            </w:r>
            <w:r w:rsidRPr="009043EC">
              <w:t xml:space="preserve">: </w:t>
            </w:r>
          </w:p>
          <w:p w14:paraId="3ABEBDF3" w14:textId="77777777" w:rsidR="002B4A84" w:rsidRDefault="002B4A84" w:rsidP="002B4A84">
            <w:r w:rsidRPr="009043EC">
              <w:t xml:space="preserve">(a) </w:t>
            </w:r>
            <w:r w:rsidRPr="009043EC">
              <w:rPr>
                <w:b/>
                <w:bCs/>
              </w:rPr>
              <w:t xml:space="preserve">Amend its electoral law to introduce targeted measures, including temporary special measures, in line with article 4 (1) of the Convention and general recommendation No. 25, such as increased quotas and targeted campaign financing, to increase the representation of women at all levels of government, in the National Assembly, the judiciary, academia and the foreign service, in particular at decision-making </w:t>
            </w:r>
            <w:proofErr w:type="gramStart"/>
            <w:r w:rsidRPr="009043EC">
              <w:rPr>
                <w:b/>
                <w:bCs/>
              </w:rPr>
              <w:t>levels</w:t>
            </w:r>
            <w:r w:rsidRPr="009043EC">
              <w:t>;</w:t>
            </w:r>
            <w:proofErr w:type="gramEnd"/>
          </w:p>
          <w:p w14:paraId="4289D810" w14:textId="77777777" w:rsidR="002B4A84" w:rsidRDefault="002B4A84" w:rsidP="002B4A84">
            <w:r w:rsidRPr="009043EC">
              <w:t xml:space="preserve">(c) </w:t>
            </w:r>
            <w:r w:rsidRPr="009043EC">
              <w:rPr>
                <w:b/>
                <w:bCs/>
              </w:rPr>
              <w:t>Introduce preferential recruitment of women to the civil service and the foreign service, with particular attention to disadvantaged and marginalized groups of women</w:t>
            </w:r>
            <w:r w:rsidRPr="009043EC">
              <w:t>;</w:t>
            </w:r>
            <w:r>
              <w:t>”</w:t>
            </w:r>
            <w:r>
              <w:rPr>
                <w:rStyle w:val="FootnoteReference"/>
              </w:rPr>
              <w:footnoteReference w:id="40"/>
            </w:r>
          </w:p>
          <w:p w14:paraId="23ABF840" w14:textId="3E450729" w:rsidR="002B4A84" w:rsidRPr="00662CBC" w:rsidRDefault="002B4A84" w:rsidP="00A47701"/>
        </w:tc>
        <w:tc>
          <w:tcPr>
            <w:tcW w:w="903" w:type="pct"/>
            <w:shd w:val="clear" w:color="auto" w:fill="auto"/>
          </w:tcPr>
          <w:p w14:paraId="028143D2" w14:textId="1B0181DA" w:rsidR="004116DF" w:rsidRPr="00662CBC" w:rsidRDefault="004116DF" w:rsidP="00A47701">
            <w:r w:rsidRPr="00662CBC">
              <w:lastRenderedPageBreak/>
              <w:t>—</w:t>
            </w:r>
          </w:p>
          <w:p w14:paraId="23DF451D" w14:textId="407C2EDB" w:rsidR="004116DF" w:rsidRPr="00662CBC" w:rsidRDefault="004116DF" w:rsidP="00A47701">
            <w:r w:rsidRPr="00662CBC">
              <w:rPr>
                <w:b/>
                <w:bCs/>
              </w:rPr>
              <w:t>Bill currently considered</w:t>
            </w:r>
            <w:r w:rsidRPr="00662CBC">
              <w:t>:</w:t>
            </w:r>
          </w:p>
          <w:p w14:paraId="607D7AE7" w14:textId="77777777" w:rsidR="004116DF" w:rsidRPr="00662CBC" w:rsidRDefault="004116DF" w:rsidP="00EF453F">
            <w:r w:rsidRPr="00662CBC">
              <w:t xml:space="preserve">“The Armenian Defense Ministry is drafting a bill that would </w:t>
            </w:r>
            <w:r w:rsidRPr="00662CBC">
              <w:lastRenderedPageBreak/>
              <w:t xml:space="preserve">substantially broaden the role of women in the country's armed forces. </w:t>
            </w:r>
            <w:r w:rsidRPr="00662CBC">
              <w:br/>
              <w:t>It is part of a comprehensive overhaul of the military, which has been in a constant state of upheaval since the defeat to Azerbaijan in the 2020 Second Karabakh War.</w:t>
            </w:r>
            <w:r w:rsidRPr="00662CBC">
              <w:br/>
              <w:t>While recruiting more women would have the obvious benefit of growing the ranks of the army amid Armenia's precarious security situation, some experts point to the difficulty of trying to ensure gender equality in such a patriarchal environment.”</w:t>
            </w:r>
            <w:r w:rsidRPr="005D2F5A">
              <w:rPr>
                <w:rStyle w:val="FootnoteReference"/>
              </w:rPr>
              <w:footnoteReference w:id="41"/>
            </w:r>
          </w:p>
          <w:p w14:paraId="4E321301" w14:textId="77777777" w:rsidR="004116DF" w:rsidRPr="00662CBC" w:rsidRDefault="004116DF" w:rsidP="00466086">
            <w:r w:rsidRPr="00662CBC">
              <w:rPr>
                <w:b/>
                <w:bCs/>
              </w:rPr>
              <w:t>Policy</w:t>
            </w:r>
            <w:r w:rsidRPr="00662CBC">
              <w:t xml:space="preserve">: “Strategically, the Republic of Armenia will gradually transition to a professional army, the structure of military service and conscription will be significantly changed. We also consider important the technological modernization of our army, the introduction of an automated </w:t>
            </w:r>
            <w:r w:rsidRPr="00662CBC">
              <w:lastRenderedPageBreak/>
              <w:t>management system, the increase of military service attractiveness through the new policy of salary and social guarantees, the significant improvement of the quality of military education, as well as the larger involvement of women in combat units. I must emphasize that the thesis on women's involvement has no ideological or anti-ideological basis, but is conditioned exclusively by pragmatic calculation…”</w:t>
            </w:r>
            <w:r w:rsidRPr="005D2F5A">
              <w:rPr>
                <w:rStyle w:val="FootnoteReference"/>
              </w:rPr>
              <w:footnoteReference w:id="42"/>
            </w:r>
          </w:p>
          <w:p w14:paraId="175F6DF8" w14:textId="6AB28DF4" w:rsidR="004116DF" w:rsidRPr="00662CBC" w:rsidRDefault="007568F5" w:rsidP="00466086">
            <w:r>
              <w:rPr>
                <w:b/>
                <w:bCs/>
              </w:rPr>
              <w:t>Note</w:t>
            </w:r>
            <w:r w:rsidR="004116DF" w:rsidRPr="00662CBC">
              <w:rPr>
                <w:b/>
                <w:bCs/>
              </w:rPr>
              <w:t>.</w:t>
            </w:r>
            <w:r w:rsidR="004116DF" w:rsidRPr="00662CBC">
              <w:t>: Stereotypes</w:t>
            </w:r>
            <w:r w:rsidR="004116DF" w:rsidRPr="005D2F5A">
              <w:rPr>
                <w:rStyle w:val="FootnoteReference"/>
              </w:rPr>
              <w:footnoteReference w:id="43"/>
            </w:r>
          </w:p>
        </w:tc>
        <w:tc>
          <w:tcPr>
            <w:tcW w:w="949" w:type="pct"/>
            <w:shd w:val="clear" w:color="auto" w:fill="auto"/>
          </w:tcPr>
          <w:p w14:paraId="4F725857" w14:textId="650F7869" w:rsidR="004116DF" w:rsidRPr="00662CBC" w:rsidRDefault="004116DF" w:rsidP="00842D33">
            <w:pPr>
              <w:rPr>
                <w:b/>
                <w:bCs/>
              </w:rPr>
            </w:pPr>
            <w:r w:rsidRPr="00662CBC">
              <w:rPr>
                <w:b/>
                <w:bCs/>
              </w:rPr>
              <w:lastRenderedPageBreak/>
              <w:t>Compulsory military service for men</w:t>
            </w:r>
          </w:p>
          <w:p w14:paraId="1F426E10" w14:textId="56FD5352" w:rsidR="004116DF" w:rsidRPr="00662CBC" w:rsidRDefault="004116DF" w:rsidP="00842D33">
            <w:r w:rsidRPr="00662CBC">
              <w:t>“18-35 years of age for compulsory military service for men; 17-</w:t>
            </w:r>
            <w:r w:rsidRPr="00662CBC">
              <w:lastRenderedPageBreak/>
              <w:t>35 years of age for voluntary service for men and women (2022)</w:t>
            </w:r>
            <w:r w:rsidRPr="00662CBC">
              <w:br/>
            </w:r>
            <w:r w:rsidRPr="00662CBC">
              <w:rPr>
                <w:b/>
                <w:bCs/>
              </w:rPr>
              <w:t>note</w:t>
            </w:r>
            <w:r w:rsidRPr="00662CBC">
              <w:t xml:space="preserve">: as of 2018, women made up an estimated 3% of the </w:t>
            </w:r>
            <w:proofErr w:type="gramStart"/>
            <w:r w:rsidRPr="00662CBC">
              <w:t>active duty</w:t>
            </w:r>
            <w:proofErr w:type="gramEnd"/>
            <w:r w:rsidRPr="00662CBC">
              <w:t xml:space="preserve"> military”</w:t>
            </w:r>
            <w:r w:rsidRPr="005D2F5A">
              <w:rPr>
                <w:rStyle w:val="FootnoteReference"/>
              </w:rPr>
              <w:footnoteReference w:id="44"/>
            </w:r>
          </w:p>
          <w:p w14:paraId="57B663E3" w14:textId="67B3965B" w:rsidR="004116DF" w:rsidRPr="00662CBC" w:rsidRDefault="00000000" w:rsidP="00A47701">
            <w:hyperlink r:id="rId15" w:history="1">
              <w:r w:rsidR="004116DF" w:rsidRPr="00662CBC">
                <w:rPr>
                  <w:rStyle w:val="Hyperlink"/>
                </w:rPr>
                <w:t>Law On State Guarantees of Equal Rights for Women and Men, §3</w:t>
              </w:r>
            </w:hyperlink>
            <w:r w:rsidR="004116DF" w:rsidRPr="00662CBC">
              <w:t>:</w:t>
            </w:r>
          </w:p>
          <w:p w14:paraId="6C0EB215" w14:textId="479B93DE" w:rsidR="004116DF" w:rsidRPr="00662CBC" w:rsidRDefault="004116DF" w:rsidP="00A47701">
            <w:r w:rsidRPr="00662CBC">
              <w:t xml:space="preserve">“3.1. All forms of gender-based discrimination are prohibited </w:t>
            </w:r>
            <w:r w:rsidRPr="00662CBC">
              <w:br/>
              <w:t xml:space="preserve">3.2. The following is not considered as gender-based discrimination: </w:t>
            </w:r>
            <w:r w:rsidRPr="00662CBC">
              <w:br/>
              <w:t>3.2.2. compulsory military service prescribed by the law exclusively for men;”</w:t>
            </w:r>
            <w:r w:rsidRPr="005D2F5A">
              <w:rPr>
                <w:rStyle w:val="FootnoteReference"/>
              </w:rPr>
              <w:footnoteReference w:id="45"/>
            </w:r>
          </w:p>
        </w:tc>
        <w:tc>
          <w:tcPr>
            <w:tcW w:w="677" w:type="pct"/>
            <w:shd w:val="clear" w:color="auto" w:fill="auto"/>
          </w:tcPr>
          <w:p w14:paraId="430A77D8" w14:textId="1FF2C31F" w:rsidR="004116DF" w:rsidRPr="00662CBC" w:rsidRDefault="00000000" w:rsidP="00E34C65">
            <w:hyperlink r:id="rId16" w:history="1">
              <w:r w:rsidR="004116DF" w:rsidRPr="00D76205">
                <w:rPr>
                  <w:rStyle w:val="Hyperlink"/>
                  <w:b/>
                  <w:bCs/>
                </w:rPr>
                <w:t>NAP 2020-2023</w:t>
              </w:r>
            </w:hyperlink>
            <w:r w:rsidR="004116DF" w:rsidRPr="00662CBC">
              <w:t xml:space="preserve">: no </w:t>
            </w:r>
            <w:r w:rsidR="00E34C65">
              <w:t>precise</w:t>
            </w:r>
            <w:r w:rsidR="004116DF" w:rsidRPr="00662CBC">
              <w:t xml:space="preserve"> implementation steps</w:t>
            </w:r>
            <w:r w:rsidR="004116DF" w:rsidRPr="005D2F5A">
              <w:rPr>
                <w:rStyle w:val="FootnoteReference"/>
              </w:rPr>
              <w:footnoteReference w:id="46"/>
            </w:r>
          </w:p>
        </w:tc>
      </w:tr>
      <w:tr w:rsidR="005A7203" w:rsidRPr="00662CBC" w14:paraId="7097C8CE" w14:textId="77777777" w:rsidTr="00F37D6B">
        <w:tc>
          <w:tcPr>
            <w:tcW w:w="139" w:type="pct"/>
            <w:shd w:val="clear" w:color="auto" w:fill="auto"/>
          </w:tcPr>
          <w:p w14:paraId="563077A6"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1C6AEFE7" w14:textId="77777777" w:rsidR="004116DF" w:rsidRPr="00662CBC" w:rsidRDefault="004116DF" w:rsidP="006064D6">
            <w:pPr>
              <w:pStyle w:val="Heading3"/>
            </w:pPr>
            <w:bookmarkStart w:id="10" w:name="_Toc132806694"/>
            <w:r w:rsidRPr="00662CBC">
              <w:t>Belarus</w:t>
            </w:r>
            <w:bookmarkEnd w:id="10"/>
          </w:p>
        </w:tc>
        <w:tc>
          <w:tcPr>
            <w:tcW w:w="855" w:type="pct"/>
            <w:shd w:val="clear" w:color="auto" w:fill="auto"/>
          </w:tcPr>
          <w:p w14:paraId="0DFB731E" w14:textId="54DCD6AD" w:rsidR="004116DF" w:rsidRPr="00662CBC" w:rsidRDefault="00AF5DAC" w:rsidP="00E35B59">
            <w:r w:rsidRPr="00662CBC">
              <w:rPr>
                <w:b/>
                <w:bCs/>
              </w:rPr>
              <w:t>NDC</w:t>
            </w:r>
            <w:r w:rsidR="00B55118" w:rsidRPr="00662CBC">
              <w:rPr>
                <w:b/>
                <w:bCs/>
              </w:rPr>
              <w:t xml:space="preserve"> 2021-2030</w:t>
            </w:r>
            <w:r w:rsidR="00B55118" w:rsidRPr="00662CBC">
              <w:t>, Update: no mention of gender</w:t>
            </w:r>
            <w:r w:rsidR="00B55118" w:rsidRPr="005D2F5A">
              <w:rPr>
                <w:rStyle w:val="FootnoteReference"/>
              </w:rPr>
              <w:footnoteReference w:id="47"/>
            </w:r>
            <w:r w:rsidRPr="00662CBC">
              <w:t xml:space="preserve"> </w:t>
            </w:r>
          </w:p>
        </w:tc>
        <w:tc>
          <w:tcPr>
            <w:tcW w:w="1023" w:type="pct"/>
            <w:shd w:val="clear" w:color="auto" w:fill="auto"/>
          </w:tcPr>
          <w:p w14:paraId="04068DBF" w14:textId="77777777" w:rsidR="004116DF" w:rsidRDefault="005C1321" w:rsidP="00E35B59">
            <w:r w:rsidRPr="00662CBC">
              <w:t>—</w:t>
            </w:r>
          </w:p>
          <w:p w14:paraId="4B390A60" w14:textId="77777777" w:rsidR="00C12B68" w:rsidRDefault="00C12B68" w:rsidP="00E35B59"/>
          <w:p w14:paraId="56BAC240" w14:textId="77777777" w:rsidR="00C12B68" w:rsidRDefault="00C12B68" w:rsidP="00C12B68">
            <w:r>
              <w:t>“</w:t>
            </w:r>
            <w:r w:rsidRPr="00C12B68">
              <w:t xml:space="preserve">Total civil servants of which in positions: 67.4% women, 32.6% men (2017) cxliii, of which: </w:t>
            </w:r>
          </w:p>
          <w:p w14:paraId="7A5F5774" w14:textId="36AAEFB5" w:rsidR="00C12B68" w:rsidRDefault="00C12B68" w:rsidP="00C12B68">
            <w:r w:rsidRPr="00C12B68">
              <w:t xml:space="preserve">Heads/Deputy Heads: 56.2% are women and 43.8% are </w:t>
            </w:r>
            <w:proofErr w:type="gramStart"/>
            <w:r w:rsidRPr="00C12B68">
              <w:t>men;</w:t>
            </w:r>
            <w:proofErr w:type="gramEnd"/>
            <w:r w:rsidRPr="00C12B68">
              <w:t xml:space="preserve"> </w:t>
            </w:r>
          </w:p>
          <w:p w14:paraId="15256395" w14:textId="259605A4" w:rsidR="00C12B68" w:rsidRPr="00662CBC" w:rsidRDefault="00C12B68" w:rsidP="00C12B68">
            <w:r w:rsidRPr="00C12B68">
              <w:t>Executive Assistants, Advisors, Consultants: 70.4% are women and 29.6% are men; Legal professionals: 60.9% are women and 39.1% are men.</w:t>
            </w:r>
            <w:r>
              <w:t>”</w:t>
            </w:r>
            <w:r>
              <w:rPr>
                <w:rStyle w:val="FootnoteReference"/>
              </w:rPr>
              <w:footnoteReference w:id="48"/>
            </w:r>
          </w:p>
        </w:tc>
        <w:tc>
          <w:tcPr>
            <w:tcW w:w="903" w:type="pct"/>
            <w:shd w:val="clear" w:color="auto" w:fill="auto"/>
          </w:tcPr>
          <w:p w14:paraId="5669FF21" w14:textId="4E57F3A3" w:rsidR="004116DF" w:rsidRPr="00662CBC" w:rsidRDefault="005C1321" w:rsidP="00E35B59">
            <w:r w:rsidRPr="00662CBC">
              <w:t>—</w:t>
            </w:r>
          </w:p>
        </w:tc>
        <w:tc>
          <w:tcPr>
            <w:tcW w:w="949" w:type="pct"/>
            <w:shd w:val="clear" w:color="auto" w:fill="auto"/>
          </w:tcPr>
          <w:p w14:paraId="348F9881" w14:textId="0D3D401C" w:rsidR="004116DF" w:rsidRPr="00662CBC" w:rsidRDefault="004116DF" w:rsidP="004B316B">
            <w:pPr>
              <w:rPr>
                <w:b/>
                <w:bCs/>
              </w:rPr>
            </w:pPr>
            <w:r w:rsidRPr="00662CBC">
              <w:rPr>
                <w:b/>
                <w:bCs/>
              </w:rPr>
              <w:t>Compulsory military service for men</w:t>
            </w:r>
          </w:p>
          <w:p w14:paraId="27C7AAFC" w14:textId="201A85E6" w:rsidR="004116DF" w:rsidRPr="00662CBC" w:rsidRDefault="004116DF" w:rsidP="004B316B">
            <w:r w:rsidRPr="00662CBC">
              <w:t>“18-27 years of age for compulsory military or alternative service; conscript service obligation is 12-18 months, depending on academic qualifications, and 24-36 months for alternative service, also depending on academic qualifications; 17-year-olds are eligible to become cadets at military higher education institutes, where they are classified as military personnel (2022)</w:t>
            </w:r>
            <w:r w:rsidRPr="00662CBC">
              <w:br/>
            </w:r>
            <w:r w:rsidRPr="00662CBC">
              <w:br/>
            </w:r>
            <w:r w:rsidRPr="00662CBC">
              <w:rPr>
                <w:b/>
                <w:bCs/>
              </w:rPr>
              <w:t>note:</w:t>
            </w:r>
            <w:r w:rsidRPr="00662CBC">
              <w:t> conscripts can be assigned to the military, to the Ministry of Interior as internal or border troops, or to the Ministry of Labor and Social Protection (alternative service); as of 2020, conscripts comprised an estimated 40% of the military”</w:t>
            </w:r>
            <w:r w:rsidRPr="005D2F5A">
              <w:rPr>
                <w:rStyle w:val="FootnoteReference"/>
              </w:rPr>
              <w:footnoteReference w:id="49"/>
            </w:r>
          </w:p>
        </w:tc>
        <w:tc>
          <w:tcPr>
            <w:tcW w:w="677" w:type="pct"/>
            <w:shd w:val="clear" w:color="auto" w:fill="auto"/>
          </w:tcPr>
          <w:p w14:paraId="3B6D7113" w14:textId="002C9E88" w:rsidR="004116DF" w:rsidRPr="00662CBC" w:rsidRDefault="005C1321" w:rsidP="00E35B59">
            <w:pPr>
              <w:rPr>
                <w:b/>
                <w:bCs/>
              </w:rPr>
            </w:pPr>
            <w:r w:rsidRPr="00662CBC">
              <w:rPr>
                <w:b/>
                <w:bCs/>
              </w:rPr>
              <w:t xml:space="preserve">No WPS NAP </w:t>
            </w:r>
          </w:p>
        </w:tc>
      </w:tr>
      <w:tr w:rsidR="005A7203" w:rsidRPr="00C96364" w14:paraId="7A5D8897" w14:textId="77777777" w:rsidTr="00F37D6B">
        <w:tc>
          <w:tcPr>
            <w:tcW w:w="139" w:type="pct"/>
            <w:shd w:val="clear" w:color="auto" w:fill="auto"/>
          </w:tcPr>
          <w:p w14:paraId="09FF7E0D"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29936BE6" w14:textId="77777777" w:rsidR="004116DF" w:rsidRPr="00662CBC" w:rsidRDefault="004116DF" w:rsidP="006064D6">
            <w:pPr>
              <w:pStyle w:val="Heading3"/>
              <w:rPr>
                <w:szCs w:val="20"/>
              </w:rPr>
            </w:pPr>
            <w:bookmarkStart w:id="11" w:name="_Toc132806695"/>
            <w:r w:rsidRPr="00662CBC">
              <w:rPr>
                <w:szCs w:val="20"/>
              </w:rPr>
              <w:t>Belgium</w:t>
            </w:r>
            <w:bookmarkEnd w:id="11"/>
          </w:p>
        </w:tc>
        <w:tc>
          <w:tcPr>
            <w:tcW w:w="855" w:type="pct"/>
            <w:shd w:val="clear" w:color="auto" w:fill="auto"/>
          </w:tcPr>
          <w:p w14:paraId="13DC6564" w14:textId="1B1D6D90" w:rsidR="004116DF" w:rsidRPr="00662CBC" w:rsidRDefault="004116DF" w:rsidP="00714158">
            <w:r w:rsidRPr="00662CBC">
              <w:t>s. NDC submitted by EU</w:t>
            </w:r>
          </w:p>
        </w:tc>
        <w:tc>
          <w:tcPr>
            <w:tcW w:w="1023" w:type="pct"/>
            <w:shd w:val="clear" w:color="auto" w:fill="auto"/>
          </w:tcPr>
          <w:p w14:paraId="3B4958FC" w14:textId="7B749947" w:rsidR="009D3797" w:rsidRDefault="009D3797" w:rsidP="00F746A4">
            <w:pPr>
              <w:rPr>
                <w:b/>
                <w:bCs/>
              </w:rPr>
            </w:pPr>
            <w:r w:rsidRPr="00662CBC">
              <w:rPr>
                <w:b/>
                <w:bCs/>
              </w:rPr>
              <w:t xml:space="preserve">— </w:t>
            </w:r>
          </w:p>
          <w:p w14:paraId="4A20E38B" w14:textId="77777777" w:rsidR="00BF5554" w:rsidRPr="00F61A24" w:rsidRDefault="00BF5554" w:rsidP="00BF5554">
            <w:pPr>
              <w:rPr>
                <w:szCs w:val="20"/>
              </w:rPr>
            </w:pPr>
            <w:r>
              <w:rPr>
                <w:b/>
                <w:bCs/>
                <w:szCs w:val="20"/>
              </w:rPr>
              <w:t xml:space="preserve">Foreign service and </w:t>
            </w:r>
            <w:r w:rsidRPr="000D5A09">
              <w:rPr>
                <w:b/>
                <w:bCs/>
                <w:szCs w:val="20"/>
              </w:rPr>
              <w:t>the federal scientific establishments</w:t>
            </w:r>
          </w:p>
          <w:p w14:paraId="6AC619CB" w14:textId="69240AA8" w:rsidR="00BF5554" w:rsidRPr="00F61A24" w:rsidRDefault="00BF5554" w:rsidP="00BF5554">
            <w:pPr>
              <w:rPr>
                <w:szCs w:val="20"/>
              </w:rPr>
            </w:pPr>
            <w:r w:rsidRPr="00F61A24">
              <w:rPr>
                <w:szCs w:val="20"/>
              </w:rPr>
              <w:lastRenderedPageBreak/>
              <w:t xml:space="preserve">“Royal Decree of 2 June 2012 was adopted on the grounds of Article 16 of the Gender Act, with a very limited scope: imposing a principle of quotas (not more than two thirds of staff members of the same sex) for the upper ranks (university grade) of the federal civil service. Five years later, no report on the effectiveness of that measure has been made public. However, even more recently a Royal Decree of 13 May 2015 applied the same principle </w:t>
            </w:r>
            <w:r w:rsidR="00B318B4">
              <w:rPr>
                <w:szCs w:val="20"/>
              </w:rPr>
              <w:t>[…]</w:t>
            </w:r>
            <w:r w:rsidRPr="00B318B4">
              <w:rPr>
                <w:szCs w:val="20"/>
              </w:rPr>
              <w:t>.”</w:t>
            </w:r>
            <w:r w:rsidRPr="00B318B4">
              <w:rPr>
                <w:rStyle w:val="FootnoteReference"/>
              </w:rPr>
              <w:footnoteReference w:id="50"/>
            </w:r>
          </w:p>
          <w:p w14:paraId="6C386252" w14:textId="77777777" w:rsidR="00BF5554" w:rsidRPr="00662CBC" w:rsidRDefault="00BF5554" w:rsidP="00F746A4">
            <w:pPr>
              <w:rPr>
                <w:b/>
                <w:bCs/>
              </w:rPr>
            </w:pPr>
          </w:p>
          <w:p w14:paraId="7FD86AE8" w14:textId="47FD8F14" w:rsidR="00786F7B" w:rsidRPr="00662CBC" w:rsidRDefault="0070634A" w:rsidP="00E35B59">
            <w:r w:rsidRPr="00662CBC">
              <w:rPr>
                <w:b/>
                <w:bCs/>
              </w:rPr>
              <w:t xml:space="preserve">Act combating certain forms of discrimination (2007), </w:t>
            </w:r>
            <w:r w:rsidR="00156C70">
              <w:rPr>
                <w:b/>
                <w:bCs/>
              </w:rPr>
              <w:t>a</w:t>
            </w:r>
            <w:r w:rsidRPr="00662CBC">
              <w:rPr>
                <w:b/>
                <w:bCs/>
              </w:rPr>
              <w:t>rt.10</w:t>
            </w:r>
            <w:r w:rsidRPr="00662CBC">
              <w:t xml:space="preserve">: </w:t>
            </w:r>
            <w:r w:rsidRPr="00C22ACA">
              <w:rPr>
                <w:b/>
                <w:bCs/>
              </w:rPr>
              <w:t>allows for affirmative action</w:t>
            </w:r>
            <w:r w:rsidRPr="00662CBC">
              <w:t xml:space="preserve"> </w:t>
            </w:r>
            <w:r w:rsidR="00C22ACA">
              <w:rPr>
                <w:b/>
                <w:bCs/>
              </w:rPr>
              <w:t>w</w:t>
            </w:r>
            <w:r w:rsidR="00C22ACA">
              <w:t xml:space="preserve">here </w:t>
            </w:r>
            <w:r w:rsidR="00F746A4" w:rsidRPr="00662CBC">
              <w:br/>
            </w:r>
            <w:r w:rsidR="009D3797" w:rsidRPr="00662CBC">
              <w:t xml:space="preserve">(1) there is a manifest inequality within  the sector of industry or the company, </w:t>
            </w:r>
            <w:r w:rsidR="00F746A4" w:rsidRPr="00662CBC">
              <w:br/>
            </w:r>
            <w:r w:rsidR="009D3797" w:rsidRPr="00662CBC">
              <w:t xml:space="preserve">(2) the affirmative action aims to eliminate inequality and is be clearly </w:t>
            </w:r>
            <w:r w:rsidR="009D3797" w:rsidRPr="00662CBC">
              <w:lastRenderedPageBreak/>
              <w:t xml:space="preserve">defined and aimed at eliminating or reducing the problems underlying inequality </w:t>
            </w:r>
            <w:r w:rsidR="00F746A4" w:rsidRPr="00662CBC">
              <w:br/>
            </w:r>
            <w:r w:rsidR="009D3797" w:rsidRPr="00662CBC">
              <w:t xml:space="preserve">(3) action must be clearly defined and proportionate (strictly </w:t>
            </w:r>
            <w:r w:rsidR="00AD2CE2" w:rsidRPr="00662CBC">
              <w:t>necessary</w:t>
            </w:r>
            <w:r w:rsidR="009D3797" w:rsidRPr="00662CBC">
              <w:t xml:space="preserve"> and not action must be clearly defined and proportionate), and (4) it must be temporary</w:t>
            </w:r>
            <w:r w:rsidR="00F746A4" w:rsidRPr="00662CBC">
              <w:t>.</w:t>
            </w:r>
            <w:r w:rsidR="001726AB" w:rsidRPr="005D2F5A">
              <w:rPr>
                <w:rStyle w:val="FootnoteReference"/>
              </w:rPr>
              <w:footnoteReference w:id="51"/>
            </w:r>
          </w:p>
          <w:p w14:paraId="35703EE6" w14:textId="77777777" w:rsidR="005C1321" w:rsidRDefault="00C22ACA" w:rsidP="00E35B59">
            <w:pPr>
              <w:rPr>
                <w:b/>
                <w:bCs/>
              </w:rPr>
            </w:pPr>
            <w:r w:rsidRPr="00C22ACA">
              <w:rPr>
                <w:b/>
                <w:bCs/>
              </w:rPr>
              <w:t>Note</w:t>
            </w:r>
            <w:r>
              <w:t xml:space="preserve">: </w:t>
            </w:r>
            <w:r w:rsidR="005C1321" w:rsidRPr="00C22ACA">
              <w:rPr>
                <w:b/>
                <w:bCs/>
              </w:rPr>
              <w:t>Very low number of women ambassadors</w:t>
            </w:r>
            <w:r w:rsidR="008350C3" w:rsidRPr="005D2F5A">
              <w:rPr>
                <w:rStyle w:val="FootnoteReference"/>
              </w:rPr>
              <w:footnoteReference w:id="52"/>
            </w:r>
          </w:p>
          <w:p w14:paraId="14E8BE7F" w14:textId="77777777" w:rsidR="009314FE" w:rsidRDefault="009314FE" w:rsidP="00E35B59">
            <w:pPr>
              <w:rPr>
                <w:b/>
                <w:bCs/>
              </w:rPr>
            </w:pPr>
          </w:p>
          <w:p w14:paraId="3FE0D6F8" w14:textId="77777777" w:rsidR="009314FE" w:rsidRPr="009043EC" w:rsidRDefault="009314FE" w:rsidP="009314FE">
            <w:r w:rsidRPr="009043EC">
              <w:rPr>
                <w:b/>
                <w:bCs/>
              </w:rPr>
              <w:t>Concluding Observations</w:t>
            </w:r>
            <w:r>
              <w:rPr>
                <w:b/>
                <w:bCs/>
              </w:rPr>
              <w:t xml:space="preserve"> </w:t>
            </w:r>
            <w:r>
              <w:t>(2022):</w:t>
            </w:r>
          </w:p>
          <w:p w14:paraId="2FA3B0DA" w14:textId="77777777" w:rsidR="009314FE" w:rsidRDefault="009314FE" w:rsidP="009314FE">
            <w:r>
              <w:t>“</w:t>
            </w:r>
            <w:r w:rsidRPr="009043EC">
              <w:rPr>
                <w:b/>
                <w:bCs/>
              </w:rPr>
              <w:t>Equal participation of women in political and public life</w:t>
            </w:r>
            <w:r w:rsidRPr="009043EC">
              <w:t xml:space="preserve"> </w:t>
            </w:r>
          </w:p>
          <w:p w14:paraId="35C45CFC" w14:textId="77777777" w:rsidR="009314FE" w:rsidRDefault="009314FE" w:rsidP="009314FE">
            <w:r w:rsidRPr="009043EC">
              <w:t xml:space="preserve">37. </w:t>
            </w:r>
            <w:r>
              <w:t xml:space="preserve">[…] </w:t>
            </w:r>
            <w:r w:rsidRPr="009043EC">
              <w:t xml:space="preserve">The Committee notes with concern, however, that apart from the Walloon regional level (44.4 per cent), the proportion of women occupying the highest administrative positions was only 11.1 per cent at the federal level, 18.2 per cent at the Flemish regional level, and 28.6 per cent at the Brussels Capital level in 2017; that the percentage of women in ambassadorial positions in the </w:t>
            </w:r>
            <w:r w:rsidRPr="009043EC">
              <w:lastRenderedPageBreak/>
              <w:t>foreign service was 12.4 per cent in 2022; and that the number of women on boards of directors of autonomous public companies and listed companies was 26.8 per cent in 2017.</w:t>
            </w:r>
          </w:p>
          <w:p w14:paraId="492FF574" w14:textId="77777777" w:rsidR="009314FE" w:rsidRDefault="009314FE" w:rsidP="009314FE">
            <w:r>
              <w:t>[…] </w:t>
            </w:r>
          </w:p>
          <w:p w14:paraId="4FE84F09" w14:textId="77777777" w:rsidR="009314FE" w:rsidRDefault="009314FE" w:rsidP="009314FE">
            <w:r w:rsidRPr="009043EC">
              <w:t xml:space="preserve">(b) </w:t>
            </w:r>
            <w:r w:rsidRPr="009043EC">
              <w:rPr>
                <w:b/>
                <w:bCs/>
              </w:rPr>
              <w:t xml:space="preserve">Adopt targeted measures, including temporary special measures such as preferential recruitment and promotion of women applicants, to achieve gender parity in appointed public positions, including positions in the public administration, foreign </w:t>
            </w:r>
            <w:proofErr w:type="gramStart"/>
            <w:r w:rsidRPr="009043EC">
              <w:rPr>
                <w:b/>
                <w:bCs/>
              </w:rPr>
              <w:t>service</w:t>
            </w:r>
            <w:proofErr w:type="gramEnd"/>
            <w:r w:rsidRPr="009043EC">
              <w:rPr>
                <w:b/>
                <w:bCs/>
              </w:rPr>
              <w:t xml:space="preserve"> and the judiciary, especially at the decision</w:t>
            </w:r>
            <w:r>
              <w:rPr>
                <w:b/>
                <w:bCs/>
              </w:rPr>
              <w:t>-</w:t>
            </w:r>
            <w:r w:rsidRPr="009043EC">
              <w:rPr>
                <w:b/>
                <w:bCs/>
              </w:rPr>
              <w:t>making level</w:t>
            </w:r>
            <w:r w:rsidRPr="009043EC">
              <w:t>;</w:t>
            </w:r>
            <w:r>
              <w:t>”</w:t>
            </w:r>
            <w:r>
              <w:rPr>
                <w:rStyle w:val="FootnoteReference"/>
              </w:rPr>
              <w:footnoteReference w:id="53"/>
            </w:r>
          </w:p>
          <w:p w14:paraId="1E2CFBB1" w14:textId="77777777" w:rsidR="009314FE" w:rsidRDefault="009314FE" w:rsidP="009314FE">
            <w:pPr>
              <w:ind w:left="284" w:hanging="284"/>
            </w:pPr>
          </w:p>
          <w:p w14:paraId="5169805A" w14:textId="5108B050" w:rsidR="009314FE" w:rsidRPr="00662CBC" w:rsidRDefault="009314FE" w:rsidP="00E35B59"/>
        </w:tc>
        <w:tc>
          <w:tcPr>
            <w:tcW w:w="903" w:type="pct"/>
            <w:shd w:val="clear" w:color="auto" w:fill="auto"/>
          </w:tcPr>
          <w:p w14:paraId="0E181959" w14:textId="6112DC0D" w:rsidR="004116DF" w:rsidRPr="00C96364" w:rsidRDefault="000F3550" w:rsidP="00E35B59">
            <w:r w:rsidRPr="00C96364">
              <w:rPr>
                <w:b/>
                <w:bCs/>
              </w:rPr>
              <w:lastRenderedPageBreak/>
              <w:t>—</w:t>
            </w:r>
          </w:p>
          <w:p w14:paraId="551268F4" w14:textId="063ECF1B" w:rsidR="004B2C0C" w:rsidRPr="00C96364" w:rsidRDefault="004B2C0C" w:rsidP="00034A8C">
            <w:pPr>
              <w:rPr>
                <w:vertAlign w:val="superscript"/>
              </w:rPr>
            </w:pPr>
            <w:r w:rsidRPr="00C96364">
              <w:rPr>
                <w:rStyle w:val="FootnoteReference"/>
                <w:vertAlign w:val="baseline"/>
              </w:rPr>
              <w:lastRenderedPageBreak/>
              <w:t>“</w:t>
            </w:r>
            <w:r w:rsidRPr="00796A56">
              <w:t>There is no quota system for men or women in the Belgian Armed Forces</w:t>
            </w:r>
            <w:r w:rsidR="00EF5984" w:rsidRPr="00796A56">
              <w:t xml:space="preserve"> (BAF</w:t>
            </w:r>
            <w:r w:rsidR="00EF5984" w:rsidRPr="00C96364">
              <w:t>)</w:t>
            </w:r>
            <w:r w:rsidRPr="00C96364">
              <w:rPr>
                <w:rStyle w:val="FootnoteReference"/>
                <w:vertAlign w:val="baseline"/>
              </w:rPr>
              <w:t>.”</w:t>
            </w:r>
            <w:r>
              <w:rPr>
                <w:rStyle w:val="FootnoteReference"/>
              </w:rPr>
              <w:footnoteReference w:id="54"/>
            </w:r>
          </w:p>
          <w:p w14:paraId="5DFD8EC8" w14:textId="26011C53" w:rsidR="00220FBE" w:rsidRDefault="004B2C0C" w:rsidP="004B2C0C">
            <w:pPr>
              <w:spacing w:after="0"/>
            </w:pPr>
            <w:r w:rsidRPr="007B06AE">
              <w:t>“There is no quota system for men or women in the Belgian Armed Forces, no restrictions on the incorporation of women in the Belgian Armed Forces, nor are there restrictions that only apply to operations.</w:t>
            </w:r>
            <w:r w:rsidR="00220FBE">
              <w:t>”</w:t>
            </w:r>
            <w:r w:rsidR="00220FBE">
              <w:rPr>
                <w:rStyle w:val="FootnoteReference"/>
              </w:rPr>
              <w:t xml:space="preserve"> </w:t>
            </w:r>
            <w:r w:rsidR="00220FBE">
              <w:rPr>
                <w:rStyle w:val="FootnoteReference"/>
              </w:rPr>
              <w:footnoteReference w:id="55"/>
            </w:r>
          </w:p>
          <w:p w14:paraId="13A85ACC" w14:textId="4FEAA562" w:rsidR="00220FBE" w:rsidRPr="00220FBE" w:rsidRDefault="00220FBE" w:rsidP="004B2C0C">
            <w:pPr>
              <w:spacing w:after="0"/>
              <w:rPr>
                <w:b/>
                <w:bCs/>
              </w:rPr>
            </w:pPr>
            <w:r>
              <w:rPr>
                <w:b/>
                <w:bCs/>
              </w:rPr>
              <w:t>Note: I</w:t>
            </w:r>
            <w:r w:rsidRPr="00220FBE">
              <w:rPr>
                <w:b/>
                <w:bCs/>
              </w:rPr>
              <w:t>nstitutional</w:t>
            </w:r>
            <w:r>
              <w:rPr>
                <w:b/>
                <w:bCs/>
              </w:rPr>
              <w:t xml:space="preserve"> </w:t>
            </w:r>
            <w:r w:rsidR="0007658B">
              <w:rPr>
                <w:b/>
                <w:bCs/>
              </w:rPr>
              <w:t xml:space="preserve">mechanism to integrate gender </w:t>
            </w:r>
          </w:p>
          <w:p w14:paraId="3E514390" w14:textId="7F9A0326" w:rsidR="004B2C0C" w:rsidRPr="007B06AE" w:rsidRDefault="00220FBE" w:rsidP="004B2C0C">
            <w:pPr>
              <w:spacing w:after="0"/>
            </w:pPr>
            <w:r>
              <w:t>“</w:t>
            </w:r>
            <w:r w:rsidR="004B2C0C" w:rsidRPr="007B06AE">
              <w:t>The Policy Office of the General Directorate for Human Resources (GD HR) is responsible for integrating gender perspectives in the Armed Forces and addressing the Diversity Policy – which includes Gender Policy – through Human Resources Management.</w:t>
            </w:r>
            <w:r w:rsidR="00034A8C">
              <w:t>”</w:t>
            </w:r>
            <w:r w:rsidR="00034A8C">
              <w:rPr>
                <w:rStyle w:val="FootnoteReference"/>
              </w:rPr>
              <w:t xml:space="preserve"> </w:t>
            </w:r>
            <w:r w:rsidR="00034A8C">
              <w:rPr>
                <w:rStyle w:val="FootnoteReference"/>
              </w:rPr>
              <w:footnoteReference w:id="56"/>
            </w:r>
          </w:p>
          <w:p w14:paraId="564C2756" w14:textId="66FA278D" w:rsidR="00034A8C" w:rsidRPr="00FD6E5A" w:rsidRDefault="00220FBE" w:rsidP="004B2C0C">
            <w:r>
              <w:rPr>
                <w:b/>
                <w:bCs/>
              </w:rPr>
              <w:lastRenderedPageBreak/>
              <w:t xml:space="preserve">Note </w:t>
            </w:r>
            <w:r w:rsidR="00F72A3E">
              <w:rPr>
                <w:b/>
                <w:bCs/>
              </w:rPr>
              <w:t>2</w:t>
            </w:r>
            <w:r>
              <w:rPr>
                <w:b/>
                <w:bCs/>
              </w:rPr>
              <w:t xml:space="preserve">: </w:t>
            </w:r>
            <w:r w:rsidR="00034A8C">
              <w:rPr>
                <w:b/>
                <w:bCs/>
              </w:rPr>
              <w:t xml:space="preserve">Military equipment/facilities/and </w:t>
            </w:r>
            <w:r w:rsidR="00FD6E5A">
              <w:rPr>
                <w:b/>
                <w:bCs/>
              </w:rPr>
              <w:t>uniform for both sexes</w:t>
            </w:r>
            <w:r w:rsidR="00FD6E5A">
              <w:t>:</w:t>
            </w:r>
          </w:p>
          <w:p w14:paraId="4E99CCDE" w14:textId="27E1024C" w:rsidR="004B2C0C" w:rsidRDefault="00034A8C" w:rsidP="004B2C0C">
            <w:r>
              <w:t>“</w:t>
            </w:r>
            <w:r w:rsidR="004B2C0C" w:rsidRPr="007B06AE">
              <w:t>Military equipment (</w:t>
            </w:r>
            <w:proofErr w:type="gramStart"/>
            <w:r w:rsidR="004B2C0C" w:rsidRPr="007B06AE">
              <w:t>e.g.</w:t>
            </w:r>
            <w:proofErr w:type="gramEnd"/>
            <w:r w:rsidR="004B2C0C" w:rsidRPr="007B06AE">
              <w:t xml:space="preserve"> tanks, aircraft, and submarines) is deemed suitable for both men and women while there is no specific configuration. Military facilities, military installations and uniforms are adapted to both men and women. Combat uniforms and ballistic protection, however, are unisex but available in different sizing. Service uniforms are different for women and men, as women’s service uniforms include both skirts and trousers.”</w:t>
            </w:r>
            <w:r w:rsidR="004B2C0C">
              <w:rPr>
                <w:rStyle w:val="FootnoteReference"/>
              </w:rPr>
              <w:footnoteReference w:id="57"/>
            </w:r>
          </w:p>
          <w:p w14:paraId="11C0FA21" w14:textId="00F404BF" w:rsidR="00F37C3E" w:rsidRPr="00F37C3E" w:rsidRDefault="00F37C3E" w:rsidP="004B2C0C">
            <w:pPr>
              <w:rPr>
                <w:b/>
                <w:bCs/>
              </w:rPr>
            </w:pPr>
            <w:r>
              <w:rPr>
                <w:b/>
                <w:bCs/>
              </w:rPr>
              <w:t>Uniform:</w:t>
            </w:r>
          </w:p>
          <w:p w14:paraId="576DEFC9" w14:textId="21B89C38" w:rsidR="004B2C0C" w:rsidRPr="004B2C0C" w:rsidRDefault="00FD6E5A" w:rsidP="00C22ACA">
            <w:r>
              <w:t>“</w:t>
            </w:r>
            <w:r w:rsidR="009340A6" w:rsidRPr="009340A6">
              <w:t xml:space="preserve">From the end of 2022, some 25,000 Belgian military personnel will receive a new uniform with a different camouflage </w:t>
            </w:r>
            <w:r w:rsidR="009340A6" w:rsidRPr="009340A6">
              <w:lastRenderedPageBreak/>
              <w:t>pattern, and – for the first time – also a model for women.</w:t>
            </w:r>
            <w:r>
              <w:t>”</w:t>
            </w:r>
            <w:r w:rsidR="00C22ACA">
              <w:rPr>
                <w:rStyle w:val="Heading4Char"/>
              </w:rPr>
              <w:t xml:space="preserve"> </w:t>
            </w:r>
            <w:r w:rsidR="00C22ACA">
              <w:rPr>
                <w:rStyle w:val="FootnoteReference"/>
              </w:rPr>
              <w:footnoteReference w:id="58"/>
            </w:r>
          </w:p>
        </w:tc>
        <w:tc>
          <w:tcPr>
            <w:tcW w:w="949" w:type="pct"/>
            <w:shd w:val="clear" w:color="auto" w:fill="auto"/>
          </w:tcPr>
          <w:p w14:paraId="59AC1AF6" w14:textId="4A8B67A6" w:rsidR="007A04BF" w:rsidRPr="00662CBC" w:rsidRDefault="00DF43A8" w:rsidP="00E35B59">
            <w:pPr>
              <w:rPr>
                <w:b/>
                <w:bCs/>
              </w:rPr>
            </w:pPr>
            <w:r w:rsidRPr="00662CBC">
              <w:rPr>
                <w:b/>
                <w:bCs/>
              </w:rPr>
              <w:lastRenderedPageBreak/>
              <w:t xml:space="preserve">No mandatory service – voluntary for both sexes </w:t>
            </w:r>
          </w:p>
          <w:p w14:paraId="31E462C7" w14:textId="47927C01" w:rsidR="007A04BF" w:rsidRPr="00662CBC" w:rsidRDefault="007A04BF" w:rsidP="00E35B59">
            <w:r w:rsidRPr="00662CBC">
              <w:t xml:space="preserve">“18 years of age for voluntary military service for men and women; </w:t>
            </w:r>
            <w:r w:rsidRPr="00662CBC">
              <w:lastRenderedPageBreak/>
              <w:t xml:space="preserve">conscription abolished in 1995 (2022) </w:t>
            </w:r>
          </w:p>
          <w:p w14:paraId="355DDCAE" w14:textId="777FAD53" w:rsidR="007A04BF" w:rsidRPr="00662CBC" w:rsidRDefault="007A04BF" w:rsidP="00E35B59">
            <w:r w:rsidRPr="00662CBC">
              <w:rPr>
                <w:b/>
                <w:bCs/>
              </w:rPr>
              <w:t>note 1</w:t>
            </w:r>
            <w:r w:rsidRPr="00662CBC">
              <w:t>: in 2020, women comprised about 9% of the military's full-time personnel</w:t>
            </w:r>
            <w:r w:rsidR="007A4F97">
              <w:t>.</w:t>
            </w:r>
          </w:p>
          <w:p w14:paraId="1289F4B9" w14:textId="25EE71DA" w:rsidR="004116DF" w:rsidRPr="00662CBC" w:rsidRDefault="007A04BF" w:rsidP="00E35B59">
            <w:r w:rsidRPr="00662CBC">
              <w:rPr>
                <w:b/>
                <w:bCs/>
              </w:rPr>
              <w:t>note 2</w:t>
            </w:r>
            <w:r w:rsidRPr="00662CBC">
              <w:t>: foreign nationals 18-34 years of age who speak Dutch or French and are citizens of EU countries, Iceland, Lichtenstein, Norway, and Switzerland may apply to join the military”</w:t>
            </w:r>
            <w:r w:rsidR="004116DF" w:rsidRPr="005D2F5A">
              <w:rPr>
                <w:rStyle w:val="FootnoteReference"/>
              </w:rPr>
              <w:footnoteReference w:id="59"/>
            </w:r>
          </w:p>
        </w:tc>
        <w:tc>
          <w:tcPr>
            <w:tcW w:w="677" w:type="pct"/>
            <w:shd w:val="clear" w:color="auto" w:fill="auto"/>
          </w:tcPr>
          <w:p w14:paraId="1DDD5A6E" w14:textId="2D2D2869" w:rsidR="00AD2CE2" w:rsidRPr="005321C3" w:rsidRDefault="00000000" w:rsidP="002B1F1E">
            <w:pPr>
              <w:rPr>
                <w:lang w:val="fr-FR"/>
              </w:rPr>
            </w:pPr>
            <w:hyperlink r:id="rId17" w:history="1">
              <w:r w:rsidR="00AD2CE2" w:rsidRPr="00D76205">
                <w:rPr>
                  <w:rStyle w:val="Hyperlink"/>
                  <w:b/>
                  <w:bCs/>
                  <w:lang w:val="fr-FR"/>
                </w:rPr>
                <w:t>NAP 2008-2012</w:t>
              </w:r>
              <w:r w:rsidR="002B1F1E" w:rsidRPr="00D76205">
                <w:rPr>
                  <w:rStyle w:val="Hyperlink"/>
                  <w:b/>
                  <w:bCs/>
                  <w:lang w:val="fr-FR"/>
                </w:rPr>
                <w:t xml:space="preserve"> </w:t>
              </w:r>
              <w:r w:rsidR="002B1F1E" w:rsidRPr="00D76205">
                <w:rPr>
                  <w:rStyle w:val="Hyperlink"/>
                  <w:lang w:val="fr-FR"/>
                </w:rPr>
                <w:t>(200</w:t>
              </w:r>
              <w:r w:rsidR="00D76205" w:rsidRPr="00D76205">
                <w:rPr>
                  <w:rStyle w:val="Hyperlink"/>
                  <w:lang w:val="fr-FR"/>
                </w:rPr>
                <w:t>9</w:t>
              </w:r>
              <w:r w:rsidR="002B1F1E" w:rsidRPr="00D76205">
                <w:rPr>
                  <w:rStyle w:val="Hyperlink"/>
                  <w:lang w:val="fr-FR"/>
                </w:rPr>
                <w:t>)</w:t>
              </w:r>
            </w:hyperlink>
          </w:p>
          <w:p w14:paraId="0FCE9A94" w14:textId="2E8738ED" w:rsidR="00AD2CE2" w:rsidRPr="005321C3" w:rsidRDefault="00000000" w:rsidP="00E35B59">
            <w:pPr>
              <w:rPr>
                <w:b/>
                <w:bCs/>
                <w:lang w:val="fr-FR"/>
              </w:rPr>
            </w:pPr>
            <w:hyperlink r:id="rId18" w:history="1">
              <w:r w:rsidR="00AD2CE2" w:rsidRPr="00B23A2A">
                <w:rPr>
                  <w:rStyle w:val="Hyperlink"/>
                  <w:b/>
                  <w:bCs/>
                  <w:lang w:val="fr-FR"/>
                </w:rPr>
                <w:t xml:space="preserve">NAP </w:t>
              </w:r>
              <w:r w:rsidR="002B1F1E" w:rsidRPr="00B23A2A">
                <w:rPr>
                  <w:rStyle w:val="Hyperlink"/>
                  <w:b/>
                  <w:bCs/>
                  <w:lang w:val="fr-FR"/>
                </w:rPr>
                <w:t xml:space="preserve">2013-2016 </w:t>
              </w:r>
              <w:r w:rsidR="002B1F1E" w:rsidRPr="00B23A2A">
                <w:rPr>
                  <w:rStyle w:val="Hyperlink"/>
                  <w:lang w:val="fr-FR"/>
                </w:rPr>
                <w:t>(2013)</w:t>
              </w:r>
            </w:hyperlink>
          </w:p>
          <w:p w14:paraId="2F94CBDC" w14:textId="0BEC85D4" w:rsidR="004116DF" w:rsidRPr="005321C3" w:rsidRDefault="00000000" w:rsidP="00B23A2A">
            <w:pPr>
              <w:jc w:val="left"/>
              <w:rPr>
                <w:lang w:val="fr-FR"/>
              </w:rPr>
            </w:pPr>
            <w:hyperlink r:id="rId19" w:history="1">
              <w:r w:rsidR="00AD2CE2" w:rsidRPr="00B23A2A">
                <w:rPr>
                  <w:rStyle w:val="Hyperlink"/>
                  <w:b/>
                  <w:bCs/>
                  <w:lang w:val="fr-FR"/>
                </w:rPr>
                <w:t>NAP</w:t>
              </w:r>
              <w:r w:rsidR="00B23A2A" w:rsidRPr="00B23A2A">
                <w:rPr>
                  <w:rStyle w:val="Hyperlink"/>
                  <w:b/>
                  <w:bCs/>
                  <w:lang w:val="fr-FR"/>
                </w:rPr>
                <w:t xml:space="preserve"> </w:t>
              </w:r>
              <w:r w:rsidR="00AD2CE2" w:rsidRPr="00B23A2A">
                <w:rPr>
                  <w:rStyle w:val="Hyperlink"/>
                  <w:b/>
                  <w:bCs/>
                  <w:lang w:val="fr-FR"/>
                </w:rPr>
                <w:t xml:space="preserve">2017-2021 </w:t>
              </w:r>
              <w:r w:rsidR="00AD2CE2" w:rsidRPr="00B23A2A">
                <w:rPr>
                  <w:rStyle w:val="Hyperlink"/>
                  <w:lang w:val="fr-FR"/>
                </w:rPr>
                <w:t>(2017)</w:t>
              </w:r>
            </w:hyperlink>
            <w:r w:rsidR="00B23A2A">
              <w:rPr>
                <w:lang w:val="fr-FR"/>
              </w:rPr>
              <w:t xml:space="preserve"> </w:t>
            </w:r>
            <w:r w:rsidR="002B1F1E" w:rsidRPr="005321C3">
              <w:rPr>
                <w:lang w:val="fr-FR"/>
              </w:rPr>
              <w:t>:</w:t>
            </w:r>
            <w:r w:rsidR="006B1332" w:rsidRPr="005321C3">
              <w:rPr>
                <w:lang w:val="fr-FR"/>
              </w:rPr>
              <w:t xml:space="preserve"> </w:t>
            </w:r>
            <w:proofErr w:type="spellStart"/>
            <w:r w:rsidR="006B1332" w:rsidRPr="005321C3">
              <w:rPr>
                <w:lang w:val="fr-FR"/>
              </w:rPr>
              <w:t>contains</w:t>
            </w:r>
            <w:proofErr w:type="spellEnd"/>
            <w:r w:rsidR="006B1332" w:rsidRPr="005321C3">
              <w:rPr>
                <w:lang w:val="fr-FR"/>
              </w:rPr>
              <w:t xml:space="preserve"> no quotas </w:t>
            </w:r>
            <w:r w:rsidR="006B1332" w:rsidRPr="005D2F5A">
              <w:rPr>
                <w:rStyle w:val="FootnoteReference"/>
              </w:rPr>
              <w:footnoteReference w:id="60"/>
            </w:r>
          </w:p>
        </w:tc>
      </w:tr>
      <w:tr w:rsidR="005A7203" w:rsidRPr="00662CBC" w14:paraId="3923B40F" w14:textId="77777777" w:rsidTr="00F37D6B">
        <w:tc>
          <w:tcPr>
            <w:tcW w:w="139" w:type="pct"/>
            <w:shd w:val="clear" w:color="auto" w:fill="auto"/>
          </w:tcPr>
          <w:p w14:paraId="714E089B" w14:textId="77777777" w:rsidR="004116DF" w:rsidRPr="005321C3" w:rsidRDefault="004116DF" w:rsidP="006064D6">
            <w:pPr>
              <w:pStyle w:val="ListParagraph"/>
              <w:numPr>
                <w:ilvl w:val="0"/>
                <w:numId w:val="5"/>
              </w:numPr>
              <w:spacing w:after="0" w:line="240" w:lineRule="auto"/>
              <w:ind w:left="306" w:right="-475" w:hanging="306"/>
              <w:jc w:val="left"/>
              <w:rPr>
                <w:szCs w:val="20"/>
                <w:lang w:val="fr-FR"/>
              </w:rPr>
            </w:pPr>
          </w:p>
        </w:tc>
        <w:tc>
          <w:tcPr>
            <w:tcW w:w="454" w:type="pct"/>
            <w:shd w:val="clear" w:color="auto" w:fill="auto"/>
          </w:tcPr>
          <w:p w14:paraId="59AD16F9" w14:textId="77777777" w:rsidR="004116DF" w:rsidRPr="00662CBC" w:rsidRDefault="004116DF" w:rsidP="006064D6">
            <w:pPr>
              <w:pStyle w:val="Heading3"/>
            </w:pPr>
            <w:bookmarkStart w:id="12" w:name="_Toc132806696"/>
            <w:r w:rsidRPr="00662CBC">
              <w:t>Bosnia and Herzegovina</w:t>
            </w:r>
            <w:bookmarkEnd w:id="12"/>
          </w:p>
        </w:tc>
        <w:tc>
          <w:tcPr>
            <w:tcW w:w="855" w:type="pct"/>
            <w:shd w:val="clear" w:color="auto" w:fill="auto"/>
          </w:tcPr>
          <w:p w14:paraId="629F74E0" w14:textId="4BE67EFA" w:rsidR="00253BA0" w:rsidRPr="00662CBC" w:rsidRDefault="00253BA0" w:rsidP="0047217F">
            <w:r w:rsidRPr="00662CBC">
              <w:rPr>
                <w:b/>
                <w:bCs/>
              </w:rPr>
              <w:t xml:space="preserve">NDC </w:t>
            </w:r>
            <w:r w:rsidR="0047217F" w:rsidRPr="00662CBC">
              <w:rPr>
                <w:b/>
                <w:bCs/>
              </w:rPr>
              <w:t>2020-2030</w:t>
            </w:r>
            <w:r w:rsidR="0047217F" w:rsidRPr="00662CBC">
              <w:t xml:space="preserve"> (2021): n</w:t>
            </w:r>
            <w:r w:rsidRPr="00662CBC">
              <w:t xml:space="preserve">o mention of gender </w:t>
            </w:r>
            <w:r w:rsidRPr="005D2F5A">
              <w:rPr>
                <w:rStyle w:val="FootnoteReference"/>
              </w:rPr>
              <w:footnoteReference w:id="61"/>
            </w:r>
          </w:p>
        </w:tc>
        <w:tc>
          <w:tcPr>
            <w:tcW w:w="1023" w:type="pct"/>
            <w:shd w:val="clear" w:color="auto" w:fill="auto"/>
          </w:tcPr>
          <w:p w14:paraId="41B0EFF6" w14:textId="32B459B0" w:rsidR="009C57A0" w:rsidRPr="00662CBC" w:rsidRDefault="00D80171" w:rsidP="00E35B59">
            <w:r w:rsidRPr="00662CBC">
              <w:t>—</w:t>
            </w:r>
          </w:p>
          <w:p w14:paraId="6AFEFF5F" w14:textId="620FF816" w:rsidR="009C57A0" w:rsidRPr="009E3BD8" w:rsidRDefault="009A2F12" w:rsidP="00E35B59">
            <w:pPr>
              <w:rPr>
                <w:b/>
                <w:bCs/>
              </w:rPr>
            </w:pPr>
            <w:r w:rsidRPr="009E3BD8">
              <w:rPr>
                <w:b/>
                <w:bCs/>
              </w:rPr>
              <w:t>Gender Equality Act in Bosnia and Herzegovina</w:t>
            </w:r>
            <w:r w:rsidR="00414C89" w:rsidRPr="009E3BD8">
              <w:rPr>
                <w:b/>
                <w:bCs/>
              </w:rPr>
              <w:t xml:space="preserve"> </w:t>
            </w:r>
          </w:p>
          <w:p w14:paraId="3E19CAF8" w14:textId="77777777" w:rsidR="00414C89" w:rsidRDefault="004A2EFE" w:rsidP="00414C89">
            <w:r>
              <w:t>“</w:t>
            </w:r>
            <w:r w:rsidRPr="004A2EFE">
              <w:t>Gender Equality Act in Bosnia and Herzegovina - revised text</w:t>
            </w:r>
            <w:r>
              <w:t xml:space="preserve"> </w:t>
            </w:r>
            <w:r w:rsidR="00686443" w:rsidRPr="00686443">
              <w:t xml:space="preserve">[“Official Gazette BH” number: 32/10] </w:t>
            </w:r>
            <w:proofErr w:type="gramStart"/>
            <w:r>
              <w:t>(</w:t>
            </w:r>
            <w:r w:rsidRPr="004A2EFE">
              <w:t xml:space="preserve"> in</w:t>
            </w:r>
            <w:proofErr w:type="gramEnd"/>
            <w:r w:rsidRPr="004A2EFE">
              <w:t xml:space="preserve"> Article 20 (the area referring to Public </w:t>
            </w:r>
            <w:r w:rsidRPr="004A2EFE">
              <w:lastRenderedPageBreak/>
              <w:t xml:space="preserve">life) stipulates equal representation of both genders in governance and decision-making processes. In order to quickly achieve equal representation of genders in creating policies and adopting the measures at all levels of power in Bosnia and Herzegovina, during the revisions of the Gender Equality Act in Bosnia and Herzegovina, Article 20 was </w:t>
            </w:r>
            <w:proofErr w:type="spellStart"/>
            <w:r w:rsidRPr="004A2EFE">
              <w:t>harmonised</w:t>
            </w:r>
            <w:proofErr w:type="spellEnd"/>
            <w:r w:rsidRPr="004A2EFE">
              <w:t xml:space="preserve"> with Recommendation 3 (2003) of the Committee of Ministers of the Council of Europe, stipulating that: “Equal representation of genders exists in the case when one gender is represented by at least 40% in government bodies at all levels of government and local self</w:t>
            </w:r>
            <w:r w:rsidR="00F01E4F">
              <w:t>-</w:t>
            </w:r>
            <w:r w:rsidRPr="004A2EFE">
              <w:t>government bodies, including legislative, executive and judicial powers, political parties ...”</w:t>
            </w:r>
            <w:r w:rsidR="00686443">
              <w:t>”</w:t>
            </w:r>
            <w:r w:rsidR="00686443">
              <w:rPr>
                <w:rStyle w:val="FootnoteReference"/>
              </w:rPr>
              <w:footnoteReference w:id="62"/>
            </w:r>
          </w:p>
          <w:p w14:paraId="47C128CB" w14:textId="77777777" w:rsidR="00414C89" w:rsidRDefault="00414C89" w:rsidP="00414C89">
            <w:r>
              <w:lastRenderedPageBreak/>
              <w:t xml:space="preserve">—Unclear if this also applies to the Foreign Service! </w:t>
            </w:r>
          </w:p>
          <w:p w14:paraId="2FE09EE4" w14:textId="77777777" w:rsidR="009E3BD8" w:rsidRDefault="009E3BD8" w:rsidP="00414C89"/>
          <w:p w14:paraId="5846CAF6" w14:textId="77777777" w:rsidR="009E3BD8" w:rsidRPr="00F61A24" w:rsidRDefault="009E3BD8" w:rsidP="009E3BD8">
            <w:pPr>
              <w:rPr>
                <w:b/>
                <w:bCs/>
                <w:szCs w:val="20"/>
              </w:rPr>
            </w:pPr>
            <w:r w:rsidRPr="00F61A24">
              <w:rPr>
                <w:b/>
                <w:bCs/>
                <w:szCs w:val="20"/>
              </w:rPr>
              <w:t xml:space="preserve">CEDAW Committee Concluding Observations (2019): </w:t>
            </w:r>
          </w:p>
          <w:p w14:paraId="2EE529B1" w14:textId="77777777" w:rsidR="009E3BD8" w:rsidRDefault="009E3BD8" w:rsidP="009E3BD8">
            <w:pPr>
              <w:jc w:val="left"/>
              <w:rPr>
                <w:szCs w:val="20"/>
              </w:rPr>
            </w:pPr>
            <w:r w:rsidRPr="00F61A24">
              <w:rPr>
                <w:szCs w:val="20"/>
              </w:rPr>
              <w:t>“</w:t>
            </w:r>
            <w:r w:rsidRPr="00061FA6">
              <w:rPr>
                <w:b/>
                <w:bCs/>
                <w:szCs w:val="20"/>
              </w:rPr>
              <w:t xml:space="preserve">Participation in political and public life </w:t>
            </w:r>
            <w:r w:rsidRPr="00F61A24">
              <w:rPr>
                <w:szCs w:val="20"/>
              </w:rPr>
              <w:br/>
              <w:t xml:space="preserve">29. The Committee reiterates its concerns about: </w:t>
            </w:r>
            <w:r>
              <w:rPr>
                <w:szCs w:val="20"/>
              </w:rPr>
              <w:br/>
              <w:t xml:space="preserve">[…] </w:t>
            </w:r>
            <w:r>
              <w:rPr>
                <w:szCs w:val="20"/>
              </w:rPr>
              <w:br/>
            </w:r>
            <w:r w:rsidRPr="00F61A24">
              <w:rPr>
                <w:szCs w:val="20"/>
              </w:rPr>
              <w:t xml:space="preserve">(d) The lack of participation of women belonging to disadvantaged groups, including Roma women, in political and public life; </w:t>
            </w:r>
            <w:r>
              <w:rPr>
                <w:szCs w:val="20"/>
              </w:rPr>
              <w:br/>
            </w:r>
            <w:r w:rsidRPr="00F61A24">
              <w:rPr>
                <w:szCs w:val="20"/>
              </w:rPr>
              <w:t>(e) The lack of training on political leadership, negotiation and campaigning skills for women candidates and the limited representation of women in the State party in the foreign service, the judiciary and international organizations.</w:t>
            </w:r>
          </w:p>
          <w:p w14:paraId="287D3B7A" w14:textId="77777777" w:rsidR="009E3BD8" w:rsidRDefault="009E3BD8" w:rsidP="009E3BD8">
            <w:pPr>
              <w:jc w:val="left"/>
            </w:pPr>
            <w:r>
              <w:t xml:space="preserve">30. </w:t>
            </w:r>
            <w:r w:rsidRPr="00743ECD">
              <w:rPr>
                <w:b/>
                <w:bCs/>
              </w:rPr>
              <w:t>The Committee, drawing attention to its general recommendation No. 23 (1997) on women in political and public life and target 5.5 of the Sustainable Development Goals, recommends that the State party</w:t>
            </w:r>
            <w:r>
              <w:t>:</w:t>
            </w:r>
          </w:p>
          <w:p w14:paraId="675F786E" w14:textId="77777777" w:rsidR="009E3BD8" w:rsidRPr="00F61A24" w:rsidRDefault="009E3BD8" w:rsidP="009E3BD8">
            <w:pPr>
              <w:jc w:val="left"/>
              <w:rPr>
                <w:szCs w:val="20"/>
              </w:rPr>
            </w:pPr>
            <w:r>
              <w:lastRenderedPageBreak/>
              <w:t xml:space="preserve">(c) </w:t>
            </w:r>
            <w:r w:rsidRPr="00743ECD">
              <w:rPr>
                <w:b/>
                <w:bCs/>
              </w:rPr>
              <w:t xml:space="preserve">Provide capacity-building </w:t>
            </w:r>
            <w:proofErr w:type="spellStart"/>
            <w:r w:rsidRPr="00743ECD">
              <w:rPr>
                <w:b/>
                <w:bCs/>
              </w:rPr>
              <w:t>programmes</w:t>
            </w:r>
            <w:proofErr w:type="spellEnd"/>
            <w:r w:rsidRPr="00743ECD">
              <w:rPr>
                <w:b/>
                <w:bCs/>
              </w:rPr>
              <w:t xml:space="preserve"> for women candidates on campaigning and political leadership skills, </w:t>
            </w:r>
            <w:proofErr w:type="gramStart"/>
            <w:r w:rsidRPr="00743ECD">
              <w:rPr>
                <w:b/>
                <w:bCs/>
              </w:rPr>
              <w:t>in particular for</w:t>
            </w:r>
            <w:proofErr w:type="gramEnd"/>
            <w:r w:rsidRPr="00743ECD">
              <w:rPr>
                <w:b/>
                <w:bCs/>
              </w:rPr>
              <w:t xml:space="preserve"> women facing intersecting forms of discrimination, such as Roma women, and raise awareness among political leaders and the public of the fact that the full, equal, free and democratic participation of women on an equal basis with men in political and public life is a requirement for the full implementation of the human rights of women</w:t>
            </w:r>
            <w:r>
              <w:t>.</w:t>
            </w:r>
            <w:r w:rsidRPr="00F61A24">
              <w:rPr>
                <w:szCs w:val="20"/>
              </w:rPr>
              <w:t>”</w:t>
            </w:r>
            <w:r w:rsidRPr="00AA03E7">
              <w:rPr>
                <w:rStyle w:val="FootnoteReference"/>
              </w:rPr>
              <w:footnoteReference w:id="63"/>
            </w:r>
          </w:p>
          <w:p w14:paraId="09A38971" w14:textId="5D853B19" w:rsidR="009E3BD8" w:rsidRPr="00662CBC" w:rsidRDefault="009E3BD8" w:rsidP="00414C89"/>
        </w:tc>
        <w:tc>
          <w:tcPr>
            <w:tcW w:w="903" w:type="pct"/>
            <w:shd w:val="clear" w:color="auto" w:fill="auto"/>
          </w:tcPr>
          <w:p w14:paraId="3648E109" w14:textId="77777777" w:rsidR="004116DF" w:rsidRDefault="00D80171" w:rsidP="00E35B59">
            <w:r w:rsidRPr="00662CBC">
              <w:lastRenderedPageBreak/>
              <w:t>—</w:t>
            </w:r>
          </w:p>
          <w:p w14:paraId="5B45911F" w14:textId="7D7087C0" w:rsidR="00140103" w:rsidRDefault="00140103" w:rsidP="00E35B59">
            <w:r>
              <w:t>“</w:t>
            </w:r>
            <w:r w:rsidRPr="00140103">
              <w:t xml:space="preserve">MD BH has been successfully implementing the measure of admitting 10% of women of the total number of candidates for AF BH, whereby priority is given to most successful candidates according to success list. This is </w:t>
            </w:r>
            <w:r w:rsidRPr="00140103">
              <w:lastRenderedPageBreak/>
              <w:t>supported by evident increase of interest of women for admission into AF BH, which is illustrated by the fact13 that in 2008, only 23 women applied to the advertisement, whereas in 2014, there were as many as 595 candidates.</w:t>
            </w:r>
            <w:r w:rsidR="000A13F3">
              <w:t>”</w:t>
            </w:r>
            <w:r w:rsidR="000A13F3">
              <w:rPr>
                <w:rStyle w:val="FootnoteReference"/>
              </w:rPr>
              <w:t xml:space="preserve"> </w:t>
            </w:r>
            <w:r w:rsidR="000A13F3">
              <w:rPr>
                <w:rStyle w:val="FootnoteReference"/>
              </w:rPr>
              <w:footnoteReference w:id="64"/>
            </w:r>
          </w:p>
          <w:p w14:paraId="683E5198" w14:textId="77777777" w:rsidR="000A13F3" w:rsidRDefault="000A13F3" w:rsidP="00E35B59">
            <w:r>
              <w:t>“</w:t>
            </w:r>
            <w:r w:rsidRPr="000A13F3">
              <w:t xml:space="preserve">There is a trend of increased participation of women in senior positions in </w:t>
            </w:r>
            <w:proofErr w:type="spellStart"/>
            <w:r w:rsidRPr="000A13F3">
              <w:t>defence</w:t>
            </w:r>
            <w:proofErr w:type="spellEnd"/>
            <w:r w:rsidRPr="000A13F3">
              <w:t xml:space="preserve"> and security sectors. For example, MD BH is headed by a female minister, and three women have been appointed Heads of Department. Presently, there are 22% women at senior positions. However, in AF BH, the percentage of women at senior positions </w:t>
            </w:r>
            <w:proofErr w:type="gramStart"/>
            <w:r w:rsidRPr="000A13F3">
              <w:t>still remains</w:t>
            </w:r>
            <w:proofErr w:type="gramEnd"/>
            <w:r w:rsidRPr="000A13F3">
              <w:t xml:space="preserve"> very low (2.5%).</w:t>
            </w:r>
            <w:r>
              <w:t>”</w:t>
            </w:r>
            <w:r w:rsidR="00BE05EC">
              <w:rPr>
                <w:rStyle w:val="FootnoteReference"/>
              </w:rPr>
              <w:footnoteReference w:id="65"/>
            </w:r>
          </w:p>
          <w:p w14:paraId="61DC6AD2" w14:textId="5A0AA83F" w:rsidR="00E00562" w:rsidRPr="00662CBC" w:rsidRDefault="00EB08A3" w:rsidP="00E35B59">
            <w:r>
              <w:lastRenderedPageBreak/>
              <w:t>“</w:t>
            </w:r>
            <w:r w:rsidRPr="00EB08A3">
              <w:t xml:space="preserve">The participation of women in police forces14 at all levels of government is 7,5%, mostly at positions of police officers and senior police officers, inspectors, junior and senior inspectors. From the total number of police officers, 11.3% women hold positions of senior inspectors, 3.3% of women are independent inspectors, and only 0.3% of women are chief inspectors. [...] Although the data presented above indicate uneven representation of female police officers in certain police bodies, it can be generally concluded that there has been a slight increase in the number of women in police forces at all levels of BH which, in the reporting period, amounts to approximately 1.25%. Women are also underrepresented at the highest </w:t>
            </w:r>
            <w:proofErr w:type="spellStart"/>
            <w:r w:rsidRPr="00EB08A3">
              <w:t>decisionmaking</w:t>
            </w:r>
            <w:proofErr w:type="spellEnd"/>
            <w:r w:rsidRPr="00EB08A3">
              <w:t xml:space="preserve"> positions with higher ranks (about 1.2%). Over the last few years, it has been often accentuated that maternity leave is a reason for a more difficult career advancement.</w:t>
            </w:r>
            <w:r>
              <w:t>”</w:t>
            </w:r>
            <w:r>
              <w:rPr>
                <w:rStyle w:val="FootnoteReference"/>
              </w:rPr>
              <w:t xml:space="preserve"> </w:t>
            </w:r>
            <w:r>
              <w:rPr>
                <w:rStyle w:val="FootnoteReference"/>
              </w:rPr>
              <w:footnoteReference w:id="66"/>
            </w:r>
          </w:p>
        </w:tc>
        <w:tc>
          <w:tcPr>
            <w:tcW w:w="949" w:type="pct"/>
            <w:shd w:val="clear" w:color="auto" w:fill="auto"/>
          </w:tcPr>
          <w:p w14:paraId="337ECD3A" w14:textId="5D24C375" w:rsidR="00C26088" w:rsidRPr="00662CBC" w:rsidRDefault="00C26088" w:rsidP="00E35B59">
            <w:pPr>
              <w:rPr>
                <w:b/>
                <w:bCs/>
              </w:rPr>
            </w:pPr>
            <w:r w:rsidRPr="00662CBC">
              <w:rPr>
                <w:b/>
                <w:bCs/>
              </w:rPr>
              <w:lastRenderedPageBreak/>
              <w:t xml:space="preserve">No compulsory military </w:t>
            </w:r>
            <w:proofErr w:type="gramStart"/>
            <w:r w:rsidRPr="00662CBC">
              <w:rPr>
                <w:b/>
                <w:bCs/>
              </w:rPr>
              <w:t>service</w:t>
            </w:r>
            <w:proofErr w:type="gramEnd"/>
            <w:r w:rsidRPr="00662CBC">
              <w:rPr>
                <w:b/>
                <w:bCs/>
              </w:rPr>
              <w:t xml:space="preserve"> </w:t>
            </w:r>
          </w:p>
          <w:p w14:paraId="7E7C40E0" w14:textId="0C0EEBF5" w:rsidR="00C26088" w:rsidRPr="00662CBC" w:rsidRDefault="00C26088" w:rsidP="00E35B59">
            <w:r w:rsidRPr="00662CBC">
              <w:t xml:space="preserve">“18 years of age for voluntary military service; mandatory retirement at age 35 or after 15 years of service for junior enlisted personnel, mandatory retirement at age 50 and 30 years of service for non-commissioned officers, mandatory </w:t>
            </w:r>
            <w:r w:rsidRPr="00662CBC">
              <w:lastRenderedPageBreak/>
              <w:t xml:space="preserve">retirement at age 55 and 30 years of service for all commissioned officers; conscription abolished in 2005 (2021) </w:t>
            </w:r>
          </w:p>
          <w:p w14:paraId="16CF61CE" w14:textId="1A28032F" w:rsidR="004116DF" w:rsidRPr="00662CBC" w:rsidRDefault="00C26088" w:rsidP="00E35B59">
            <w:r w:rsidRPr="00662CBC">
              <w:rPr>
                <w:b/>
                <w:bCs/>
              </w:rPr>
              <w:t>note</w:t>
            </w:r>
            <w:r w:rsidRPr="00662CBC">
              <w:t>: as of 2021, women made up about 7% of the military's full-time personnel”</w:t>
            </w:r>
            <w:r w:rsidR="004116DF" w:rsidRPr="005D2F5A">
              <w:rPr>
                <w:rStyle w:val="FootnoteReference"/>
              </w:rPr>
              <w:footnoteReference w:id="67"/>
            </w:r>
          </w:p>
        </w:tc>
        <w:tc>
          <w:tcPr>
            <w:tcW w:w="677" w:type="pct"/>
            <w:shd w:val="clear" w:color="auto" w:fill="auto"/>
          </w:tcPr>
          <w:p w14:paraId="4043896A" w14:textId="3F728C53" w:rsidR="00624E64" w:rsidRPr="00662CBC" w:rsidRDefault="00000000" w:rsidP="00E35B59">
            <w:hyperlink r:id="rId20" w:history="1">
              <w:r w:rsidR="00624E64" w:rsidRPr="001904F6">
                <w:rPr>
                  <w:rStyle w:val="Hyperlink"/>
                  <w:b/>
                  <w:bCs/>
                </w:rPr>
                <w:t>NAP 2010-2013</w:t>
              </w:r>
              <w:r w:rsidR="00624E64" w:rsidRPr="001904F6">
                <w:rPr>
                  <w:rStyle w:val="Hyperlink"/>
                </w:rPr>
                <w:t xml:space="preserve"> (2010)</w:t>
              </w:r>
            </w:hyperlink>
            <w:r w:rsidR="00624E64" w:rsidRPr="00662CBC">
              <w:t xml:space="preserve"> </w:t>
            </w:r>
          </w:p>
          <w:p w14:paraId="7241F55A" w14:textId="6C461400" w:rsidR="00624E64" w:rsidRPr="00662CBC" w:rsidRDefault="00000000" w:rsidP="00624E64">
            <w:pPr>
              <w:rPr>
                <w:b/>
                <w:bCs/>
              </w:rPr>
            </w:pPr>
            <w:hyperlink r:id="rId21" w:history="1">
              <w:r w:rsidR="00624E64" w:rsidRPr="001904F6">
                <w:rPr>
                  <w:rStyle w:val="Hyperlink"/>
                  <w:b/>
                  <w:bCs/>
                </w:rPr>
                <w:t>NAP 2014-2017</w:t>
              </w:r>
              <w:r w:rsidR="00624E64" w:rsidRPr="001904F6">
                <w:rPr>
                  <w:rStyle w:val="Hyperlink"/>
                </w:rPr>
                <w:t xml:space="preserve"> (2014)</w:t>
              </w:r>
            </w:hyperlink>
          </w:p>
          <w:p w14:paraId="0CAC6933" w14:textId="77777777" w:rsidR="00977760" w:rsidRDefault="00000000" w:rsidP="001904F6">
            <w:hyperlink r:id="rId22" w:history="1">
              <w:r w:rsidR="00624E64" w:rsidRPr="001904F6">
                <w:rPr>
                  <w:rStyle w:val="Hyperlink"/>
                  <w:b/>
                  <w:bCs/>
                </w:rPr>
                <w:t>NAP 2018-2022</w:t>
              </w:r>
              <w:r w:rsidR="00624E64" w:rsidRPr="001904F6">
                <w:rPr>
                  <w:rStyle w:val="Hyperlink"/>
                </w:rPr>
                <w:t xml:space="preserve"> (2018)</w:t>
              </w:r>
            </w:hyperlink>
            <w:r w:rsidR="00624E64" w:rsidRPr="00662CBC">
              <w:t xml:space="preserve">: </w:t>
            </w:r>
          </w:p>
          <w:p w14:paraId="354B01E8" w14:textId="77777777" w:rsidR="000F5EE7" w:rsidRDefault="000F5EE7" w:rsidP="000F5EE7">
            <w:pPr>
              <w:pStyle w:val="ListParagraph"/>
              <w:numPr>
                <w:ilvl w:val="0"/>
                <w:numId w:val="17"/>
              </w:numPr>
            </w:pPr>
            <w:r>
              <w:lastRenderedPageBreak/>
              <w:t>Dominant focus: participation</w:t>
            </w:r>
            <w:r w:rsidRPr="005D2F5A">
              <w:rPr>
                <w:rStyle w:val="FootnoteReference"/>
              </w:rPr>
              <w:footnoteReference w:id="68"/>
            </w:r>
          </w:p>
          <w:p w14:paraId="5FFAF206" w14:textId="7673B322" w:rsidR="00414C89" w:rsidRPr="00662CBC" w:rsidRDefault="00414C89" w:rsidP="000F5EE7">
            <w:pPr>
              <w:pStyle w:val="ListParagraph"/>
              <w:numPr>
                <w:ilvl w:val="0"/>
                <w:numId w:val="17"/>
              </w:numPr>
            </w:pPr>
          </w:p>
        </w:tc>
      </w:tr>
      <w:tr w:rsidR="005A7203" w:rsidRPr="00662CBC" w14:paraId="6C4A32A0" w14:textId="77777777" w:rsidTr="00F37D6B">
        <w:tc>
          <w:tcPr>
            <w:tcW w:w="139" w:type="pct"/>
            <w:shd w:val="clear" w:color="auto" w:fill="auto"/>
          </w:tcPr>
          <w:p w14:paraId="29BF8229"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32F12926" w14:textId="77777777" w:rsidR="004116DF" w:rsidRPr="00662CBC" w:rsidRDefault="004116DF" w:rsidP="006064D6">
            <w:pPr>
              <w:pStyle w:val="Heading3"/>
            </w:pPr>
            <w:bookmarkStart w:id="13" w:name="_Toc132806697"/>
            <w:r w:rsidRPr="00662CBC">
              <w:t>Bulgaria</w:t>
            </w:r>
            <w:bookmarkEnd w:id="13"/>
            <w:r w:rsidRPr="00662CBC">
              <w:t xml:space="preserve"> </w:t>
            </w:r>
          </w:p>
          <w:p w14:paraId="68C470DE" w14:textId="77777777" w:rsidR="004116DF" w:rsidRPr="00662CBC" w:rsidRDefault="004116DF" w:rsidP="006064D6">
            <w:pPr>
              <w:rPr>
                <w:szCs w:val="20"/>
              </w:rPr>
            </w:pPr>
          </w:p>
        </w:tc>
        <w:tc>
          <w:tcPr>
            <w:tcW w:w="855" w:type="pct"/>
            <w:shd w:val="clear" w:color="auto" w:fill="auto"/>
          </w:tcPr>
          <w:p w14:paraId="090AE362" w14:textId="5300F372" w:rsidR="004116DF" w:rsidRPr="00662CBC" w:rsidRDefault="004116DF" w:rsidP="00E35B59">
            <w:r w:rsidRPr="00662CBC">
              <w:t>s. NDC submitted by EU</w:t>
            </w:r>
          </w:p>
        </w:tc>
        <w:tc>
          <w:tcPr>
            <w:tcW w:w="1023" w:type="pct"/>
            <w:shd w:val="clear" w:color="auto" w:fill="auto"/>
          </w:tcPr>
          <w:p w14:paraId="238DCA62" w14:textId="7F6971C3" w:rsidR="009A5956" w:rsidRDefault="00D35CAC" w:rsidP="009A5956">
            <w:pPr>
              <w:rPr>
                <w:b/>
                <w:bCs/>
              </w:rPr>
            </w:pPr>
            <w:r w:rsidRPr="00662CBC">
              <w:rPr>
                <w:b/>
                <w:bCs/>
              </w:rPr>
              <w:t>—</w:t>
            </w:r>
          </w:p>
          <w:p w14:paraId="0B3E4047" w14:textId="10CD55C2" w:rsidR="009A5956" w:rsidRPr="009A5956" w:rsidRDefault="009A5956" w:rsidP="009A5956">
            <w:pPr>
              <w:rPr>
                <w:b/>
                <w:bCs/>
              </w:rPr>
            </w:pPr>
            <w:r>
              <w:rPr>
                <w:b/>
                <w:bCs/>
              </w:rPr>
              <w:t xml:space="preserve">Note: </w:t>
            </w:r>
            <w:r w:rsidRPr="009A5956">
              <w:rPr>
                <w:b/>
                <w:bCs/>
              </w:rPr>
              <w:t xml:space="preserve">Quotas </w:t>
            </w:r>
            <w:r>
              <w:rPr>
                <w:b/>
                <w:bCs/>
              </w:rPr>
              <w:t xml:space="preserve">are permitted but no legislation for the foreign service could be found </w:t>
            </w:r>
          </w:p>
          <w:p w14:paraId="414D72AA" w14:textId="77777777" w:rsidR="00F34C6E" w:rsidRPr="00662CBC" w:rsidRDefault="00000000" w:rsidP="00E35B59">
            <w:hyperlink r:id="rId23" w:history="1">
              <w:r w:rsidR="00F34C6E" w:rsidRPr="00662CBC">
                <w:rPr>
                  <w:rStyle w:val="Hyperlink"/>
                </w:rPr>
                <w:t>Bulgaria’s Civil Service Act,</w:t>
              </w:r>
              <w:r w:rsidR="00F30601" w:rsidRPr="00662CBC">
                <w:rPr>
                  <w:rStyle w:val="Hyperlink"/>
                </w:rPr>
                <w:t xml:space="preserve"> Article 7(6)</w:t>
              </w:r>
            </w:hyperlink>
            <w:r w:rsidR="00D35CAC" w:rsidRPr="00662CBC">
              <w:t xml:space="preserve"> – amended in 2009:</w:t>
            </w:r>
            <w:r w:rsidR="00F34C6E" w:rsidRPr="00662CBC">
              <w:t xml:space="preserve"> “Any discrimination, privileges or restrictions based on race, nationality, ethnicity, sex, origin, religion, persuasions, </w:t>
            </w:r>
            <w:r w:rsidR="00F34C6E" w:rsidRPr="00662CBC">
              <w:lastRenderedPageBreak/>
              <w:t>membership of political, trade union or other public organizations or movements, personal, social and property status, or the existence of a disability, shall be inadmissible upon entry of civil service.”</w:t>
            </w:r>
            <w:r w:rsidR="00F30601" w:rsidRPr="005D2F5A">
              <w:rPr>
                <w:rStyle w:val="FootnoteReference"/>
              </w:rPr>
              <w:footnoteReference w:id="69"/>
            </w:r>
          </w:p>
          <w:p w14:paraId="69D009F7" w14:textId="54B700AB" w:rsidR="00D35CAC" w:rsidRPr="00662CBC" w:rsidRDefault="004766E0" w:rsidP="00E35B59">
            <w:r w:rsidRPr="00662CBC">
              <w:t xml:space="preserve">HOWEVER: The </w:t>
            </w:r>
            <w:hyperlink r:id="rId24" w:history="1">
              <w:r w:rsidRPr="00662CBC">
                <w:rPr>
                  <w:rStyle w:val="Hyperlink"/>
                </w:rPr>
                <w:t>Law on Equality of Women and Men (2016</w:t>
              </w:r>
            </w:hyperlink>
            <w:r w:rsidRPr="00662CBC">
              <w:t xml:space="preserve">): allows for temporary measures: </w:t>
            </w:r>
          </w:p>
          <w:p w14:paraId="48E35055" w14:textId="7B1328ED" w:rsidR="004766E0" w:rsidRPr="00662CBC" w:rsidRDefault="0088677C" w:rsidP="00E35B59">
            <w:r w:rsidRPr="00662CBC">
              <w:t>“</w:t>
            </w:r>
            <w:r w:rsidR="00D250C8" w:rsidRPr="00662CBC">
              <w:rPr>
                <w:b/>
                <w:bCs/>
              </w:rPr>
              <w:t>Art. 4.</w:t>
            </w:r>
            <w:r w:rsidR="00D250C8" w:rsidRPr="00662CBC">
              <w:t xml:space="preserve"> (1) The state policy on equality between women and men is implemented through: [...] 2. application of temporary incentive measures; [....]</w:t>
            </w:r>
            <w:r w:rsidR="00D250C8" w:rsidRPr="00662CBC">
              <w:br/>
              <w:t> (2) The temporary promotional measures implemented in accordance with this law do not constitute discrimination under the Law on Protection from Discrimination.</w:t>
            </w:r>
          </w:p>
          <w:p w14:paraId="291617EA" w14:textId="3DB35F67" w:rsidR="001963DE" w:rsidRPr="00662CBC" w:rsidRDefault="001963DE" w:rsidP="00E35B59">
            <w:r w:rsidRPr="00662CBC">
              <w:t xml:space="preserve">[…] </w:t>
            </w:r>
          </w:p>
          <w:p w14:paraId="5314418C" w14:textId="77777777" w:rsidR="001963DE" w:rsidRPr="001963DE" w:rsidRDefault="001963DE" w:rsidP="001963DE">
            <w:r w:rsidRPr="001963DE">
              <w:rPr>
                <w:b/>
                <w:bCs/>
              </w:rPr>
              <w:t>Art. 15.</w:t>
            </w:r>
            <w:r w:rsidRPr="001963DE">
              <w:t> (1) Temporary incentive measures under Art. 4, item 2 </w:t>
            </w:r>
            <w:proofErr w:type="gramStart"/>
            <w:r w:rsidRPr="001963DE">
              <w:t>are</w:t>
            </w:r>
            <w:proofErr w:type="gramEnd"/>
            <w:r w:rsidRPr="001963DE">
              <w:t xml:space="preserve"> foreseen in the plans for the implementation of the National Strategy on the equality of women and men.</w:t>
            </w:r>
          </w:p>
          <w:p w14:paraId="4B236E41" w14:textId="4C2174A8" w:rsidR="001963DE" w:rsidRPr="001963DE" w:rsidRDefault="001963DE" w:rsidP="001963DE">
            <w:r w:rsidRPr="001963DE">
              <w:rPr>
                <w:b/>
                <w:bCs/>
              </w:rPr>
              <w:t xml:space="preserve">(2) The incentive measures under para. 1 shall be applied by the bodies of the executive power for a </w:t>
            </w:r>
            <w:r w:rsidRPr="001963DE">
              <w:rPr>
                <w:b/>
                <w:bCs/>
              </w:rPr>
              <w:lastRenderedPageBreak/>
              <w:t>certain period until the achievement of their goals for balanced representation, equal opportunities and equality of women and men in the areas where inequality is established.</w:t>
            </w:r>
            <w:r w:rsidR="00774C0D" w:rsidRPr="00662CBC">
              <w:t xml:space="preserve"> [emphasis </w:t>
            </w:r>
            <w:r w:rsidR="009A5956">
              <w:t>added</w:t>
            </w:r>
            <w:r w:rsidR="00774C0D" w:rsidRPr="00662CBC">
              <w:t>]</w:t>
            </w:r>
          </w:p>
          <w:p w14:paraId="29498583" w14:textId="3EE4A27A" w:rsidR="001963DE" w:rsidRPr="001963DE" w:rsidRDefault="001963DE" w:rsidP="001963DE">
            <w:r w:rsidRPr="001963DE">
              <w:t>(3) The incentive measures under para. 1 are financed from the state and municipal budgets, as well as from international and European sources.</w:t>
            </w:r>
            <w:r w:rsidR="00F3250E" w:rsidRPr="00662CBC">
              <w:t xml:space="preserve"> […] </w:t>
            </w:r>
          </w:p>
          <w:p w14:paraId="78324168" w14:textId="77777777" w:rsidR="00D250C8" w:rsidRDefault="00F3250E" w:rsidP="00FC7606">
            <w:pPr>
              <w:jc w:val="left"/>
            </w:pPr>
            <w:r w:rsidRPr="00662CBC">
              <w:t>Additional provisions:</w:t>
            </w:r>
            <w:r w:rsidRPr="00662CBC">
              <w:br/>
              <w:t>§ 1. Pursuant to this law: 6. " Temporary promotional measures " are justified and proportionate initiatives of a temporary nature, which aim to remove obstacles to the balanced representation of women and men or to the equal position of the representatives of the same sex or to the sex placed in an unequal position.</w:t>
            </w:r>
            <w:r w:rsidR="00FC7606" w:rsidRPr="00662CBC">
              <w:t>”</w:t>
            </w:r>
            <w:r w:rsidR="00FC7606" w:rsidRPr="005D2F5A">
              <w:rPr>
                <w:rStyle w:val="FootnoteReference"/>
              </w:rPr>
              <w:footnoteReference w:id="70"/>
            </w:r>
          </w:p>
          <w:p w14:paraId="298C91A9" w14:textId="77777777" w:rsidR="001B4B20" w:rsidRDefault="001B4B20" w:rsidP="00FC7606">
            <w:pPr>
              <w:jc w:val="left"/>
            </w:pPr>
          </w:p>
          <w:p w14:paraId="10BCC422" w14:textId="77777777" w:rsidR="001B4B20" w:rsidRDefault="001B4B20" w:rsidP="001B4B20">
            <w:r w:rsidRPr="009043EC">
              <w:rPr>
                <w:b/>
                <w:bCs/>
              </w:rPr>
              <w:t>Concluding Observations</w:t>
            </w:r>
            <w:r>
              <w:rPr>
                <w:b/>
                <w:bCs/>
              </w:rPr>
              <w:t xml:space="preserve"> </w:t>
            </w:r>
            <w:r>
              <w:t>(2020):</w:t>
            </w:r>
          </w:p>
          <w:p w14:paraId="34BD079F" w14:textId="77777777" w:rsidR="001B4B20" w:rsidRPr="009043EC" w:rsidRDefault="001B4B20" w:rsidP="001B4B20">
            <w:pPr>
              <w:ind w:left="284" w:hanging="284"/>
              <w:rPr>
                <w:b/>
                <w:bCs/>
              </w:rPr>
            </w:pPr>
            <w:r>
              <w:t>“</w:t>
            </w:r>
            <w:r w:rsidRPr="009043EC">
              <w:rPr>
                <w:b/>
                <w:bCs/>
              </w:rPr>
              <w:t>Equal participation of women in political and public life</w:t>
            </w:r>
          </w:p>
          <w:p w14:paraId="52DA2C3D" w14:textId="77777777" w:rsidR="001B4B20" w:rsidRDefault="001B4B20" w:rsidP="001B4B20">
            <w:r>
              <w:lastRenderedPageBreak/>
              <w:t>27. The Committee notes with concern:</w:t>
            </w:r>
            <w:r>
              <w:br/>
              <w:t xml:space="preserve">(a) The fact that women, in particular women with disabilities and Roma women, continue to be underrepresented in the parliament, ministerial positions, decision-making positions at the municipal level and high-ranking posts in the foreign </w:t>
            </w:r>
            <w:proofErr w:type="gramStart"/>
            <w:r>
              <w:t>service;</w:t>
            </w:r>
            <w:proofErr w:type="gramEnd"/>
          </w:p>
          <w:p w14:paraId="16DFF2F5" w14:textId="77777777" w:rsidR="001B4B20" w:rsidRDefault="001B4B20" w:rsidP="001B4B20">
            <w:r w:rsidRPr="009043EC">
              <w:t xml:space="preserve">28. </w:t>
            </w:r>
            <w:r w:rsidRPr="009043EC">
              <w:rPr>
                <w:b/>
                <w:bCs/>
              </w:rPr>
              <w:t>The Committee recommends that the State party:</w:t>
            </w:r>
            <w:r w:rsidRPr="009043EC">
              <w:t xml:space="preserve"> </w:t>
            </w:r>
            <w:r>
              <w:br/>
            </w:r>
            <w:r w:rsidRPr="009043EC">
              <w:t xml:space="preserve">(b) </w:t>
            </w:r>
            <w:r w:rsidRPr="009043EC">
              <w:rPr>
                <w:b/>
                <w:bCs/>
              </w:rPr>
              <w:t>Take temporary special measures, such as statutory quotas and a gender parity system in the public and foreign services, in accordance with article 4 (1) of the Convention and the Committee’s general recommendation No. 25, to increase the representation of women in the parliament, ministerial positions, the judiciary and the public and foreign services</w:t>
            </w:r>
            <w:r w:rsidRPr="009043EC">
              <w:t>;</w:t>
            </w:r>
            <w:r>
              <w:t>”</w:t>
            </w:r>
            <w:r>
              <w:rPr>
                <w:rStyle w:val="FootnoteReference"/>
              </w:rPr>
              <w:footnoteReference w:id="71"/>
            </w:r>
          </w:p>
          <w:p w14:paraId="2E290D19" w14:textId="3BDC6DE5" w:rsidR="001B4B20" w:rsidRPr="00662CBC" w:rsidRDefault="001B4B20" w:rsidP="00FC7606">
            <w:pPr>
              <w:jc w:val="left"/>
            </w:pPr>
          </w:p>
        </w:tc>
        <w:tc>
          <w:tcPr>
            <w:tcW w:w="903" w:type="pct"/>
            <w:shd w:val="clear" w:color="auto" w:fill="auto"/>
          </w:tcPr>
          <w:p w14:paraId="63690FB8" w14:textId="6A4A3AE1" w:rsidR="009A5956" w:rsidRPr="009A5956" w:rsidRDefault="000F3550" w:rsidP="009A5956">
            <w:pPr>
              <w:rPr>
                <w:rStyle w:val="FootnoteReference"/>
                <w:vertAlign w:val="baseline"/>
                <w:lang w:val="nl-NL"/>
              </w:rPr>
            </w:pPr>
            <w:r>
              <w:rPr>
                <w:rStyle w:val="FootnoteReference"/>
                <w:b/>
                <w:bCs/>
                <w:vertAlign w:val="baseline"/>
                <w:lang w:val="nl-NL"/>
              </w:rPr>
              <w:lastRenderedPageBreak/>
              <w:t>—</w:t>
            </w:r>
          </w:p>
          <w:p w14:paraId="4CB51176" w14:textId="29BBEF60" w:rsidR="009A5956" w:rsidRPr="00821E7B" w:rsidRDefault="009A5956" w:rsidP="009A5956">
            <w:r w:rsidRPr="009A5956">
              <w:rPr>
                <w:rStyle w:val="FootnoteReference"/>
                <w:vertAlign w:val="baseline"/>
              </w:rPr>
              <w:t>“There is no quota system for women or men in the Bulgarian Armed Forces (BGRAF).”</w:t>
            </w:r>
            <w:r w:rsidRPr="009A5956">
              <w:rPr>
                <w:rStyle w:val="FootnoteReference"/>
                <w:vertAlign w:val="baseline"/>
              </w:rPr>
              <w:footnoteReference w:id="72"/>
            </w:r>
          </w:p>
          <w:p w14:paraId="596BC8E3" w14:textId="255EE111" w:rsidR="009A5956" w:rsidRDefault="009A5956" w:rsidP="009A5956">
            <w:r w:rsidRPr="00821E7B">
              <w:t>“</w:t>
            </w:r>
            <w:r>
              <w:t xml:space="preserve">There is no quota system for women or men in the Bulgarian Armed Forces (BGRAF). The right of women to participate in the military profession is </w:t>
            </w:r>
            <w:r>
              <w:lastRenderedPageBreak/>
              <w:t>guaranteed by the Constitution, confirmed in Article 6 stating ’all citizens are equal by virtue of law’ and ‘no discrimination is allowed on any basis including sex’”</w:t>
            </w:r>
            <w:r>
              <w:rPr>
                <w:rStyle w:val="FootnoteReference"/>
              </w:rPr>
              <w:t xml:space="preserve"> </w:t>
            </w:r>
            <w:r>
              <w:rPr>
                <w:rStyle w:val="FootnoteReference"/>
              </w:rPr>
              <w:footnoteReference w:id="73"/>
            </w:r>
          </w:p>
          <w:p w14:paraId="7CF1E8AA" w14:textId="77777777" w:rsidR="009A5956" w:rsidRDefault="009A5956" w:rsidP="009A5956"/>
          <w:p w14:paraId="22E8CC6A" w14:textId="08D66EDC" w:rsidR="009A5956" w:rsidRDefault="009A5956" w:rsidP="009A5956">
            <w:r w:rsidRPr="009A5956">
              <w:rPr>
                <w:b/>
                <w:bCs/>
              </w:rPr>
              <w:t>Note</w:t>
            </w:r>
            <w:r>
              <w:rPr>
                <w:b/>
                <w:bCs/>
              </w:rPr>
              <w:t>: Discrimination in hiring is banned and equipment/</w:t>
            </w:r>
            <w:r w:rsidR="001206EC">
              <w:rPr>
                <w:b/>
                <w:bCs/>
              </w:rPr>
              <w:t>uniforms/accommodations</w:t>
            </w:r>
            <w:r>
              <w:rPr>
                <w:b/>
                <w:bCs/>
              </w:rPr>
              <w:t xml:space="preserve"> </w:t>
            </w:r>
            <w:r w:rsidR="001206EC">
              <w:rPr>
                <w:b/>
                <w:bCs/>
              </w:rPr>
              <w:t>are</w:t>
            </w:r>
            <w:r>
              <w:rPr>
                <w:b/>
                <w:bCs/>
              </w:rPr>
              <w:t xml:space="preserve"> adapted to both women/men </w:t>
            </w:r>
            <w:r w:rsidRPr="009A5956">
              <w:rPr>
                <w:b/>
                <w:bCs/>
              </w:rPr>
              <w:t xml:space="preserve"> </w:t>
            </w:r>
            <w:r>
              <w:t xml:space="preserve">“In accordance with Article 139 of the </w:t>
            </w:r>
            <w:proofErr w:type="spellStart"/>
            <w:r>
              <w:t>Defence</w:t>
            </w:r>
            <w:proofErr w:type="spellEnd"/>
            <w:r>
              <w:t xml:space="preserve"> and Armed Forces Act of the Republic of Bulgaria (Amended, SG No. 16/2010, effective 26.02.2010), ‘enlistment for military service and its performance by servicemen shall be based on the principle of not allowing discrimination and ensuring equal opportunities for professional advancement according to requirements and criteria for occupying positions in the Armed Forces established in advance.’</w:t>
            </w:r>
          </w:p>
          <w:p w14:paraId="17069152" w14:textId="1516B34A" w:rsidR="009A5956" w:rsidRDefault="009A5956" w:rsidP="009A5956">
            <w:r w:rsidRPr="00821E7B">
              <w:t xml:space="preserve">Military equipment is adapted for both men and women and the </w:t>
            </w:r>
            <w:r w:rsidRPr="00821E7B">
              <w:lastRenderedPageBreak/>
              <w:t xml:space="preserve">working environment in the BGRAF is suitable for both sexes. There are generally accepted norms and conditions for equal access of men and women in all spheres of military life. Uniforms fit both men and women and are allocated in accordance with Ministry of </w:t>
            </w:r>
            <w:proofErr w:type="spellStart"/>
            <w:r w:rsidRPr="00821E7B">
              <w:t>Defence</w:t>
            </w:r>
            <w:proofErr w:type="spellEnd"/>
            <w:r w:rsidRPr="00821E7B">
              <w:t xml:space="preserve"> (MoD) directives. Service and combat uniforms are also adapted for both men and women.”</w:t>
            </w:r>
            <w:r>
              <w:rPr>
                <w:rStyle w:val="FootnoteReference"/>
              </w:rPr>
              <w:footnoteReference w:id="74"/>
            </w:r>
          </w:p>
          <w:p w14:paraId="1D9E5EBD" w14:textId="1E1A9D84" w:rsidR="00944A08" w:rsidRDefault="00944A08" w:rsidP="00944A08">
            <w:pPr>
              <w:rPr>
                <w:b/>
                <w:bCs/>
              </w:rPr>
            </w:pPr>
          </w:p>
          <w:p w14:paraId="7E199A01" w14:textId="7F875E4B" w:rsidR="001206EC" w:rsidRPr="001206EC" w:rsidRDefault="001206EC" w:rsidP="00944A08">
            <w:pPr>
              <w:rPr>
                <w:b/>
                <w:bCs/>
              </w:rPr>
            </w:pPr>
            <w:r>
              <w:rPr>
                <w:b/>
                <w:bCs/>
              </w:rPr>
              <w:t>Note 2</w:t>
            </w:r>
            <w:r w:rsidRPr="001206EC">
              <w:t>:</w:t>
            </w:r>
            <w:r>
              <w:rPr>
                <w:b/>
                <w:bCs/>
              </w:rPr>
              <w:t xml:space="preserve"> High number of women </w:t>
            </w:r>
            <w:r w:rsidR="001F7E7B">
              <w:rPr>
                <w:b/>
                <w:bCs/>
              </w:rPr>
              <w:t xml:space="preserve">in the </w:t>
            </w:r>
            <w:proofErr w:type="gramStart"/>
            <w:r w:rsidR="001F7E7B">
              <w:rPr>
                <w:b/>
                <w:bCs/>
              </w:rPr>
              <w:t>military</w:t>
            </w:r>
            <w:proofErr w:type="gramEnd"/>
            <w:r w:rsidR="001F7E7B">
              <w:rPr>
                <w:b/>
                <w:bCs/>
              </w:rPr>
              <w:t xml:space="preserve"> </w:t>
            </w:r>
          </w:p>
          <w:p w14:paraId="0D7514C7" w14:textId="25D71A3F" w:rsidR="004116DF" w:rsidRPr="00662CBC" w:rsidRDefault="004116DF" w:rsidP="00A92EF1">
            <w:r w:rsidRPr="00662CBC">
              <w:t>"</w:t>
            </w:r>
            <w:r w:rsidR="001F7E7B">
              <w:t xml:space="preserve"> </w:t>
            </w:r>
            <w:r w:rsidR="001F7E7B" w:rsidRPr="001F7E7B">
              <w:t>Looking at the individual country level in 2020, there are 15 countries in which women’s representation in the military is below 10%.</w:t>
            </w:r>
            <w:r w:rsidR="001F7E7B">
              <w:t xml:space="preserve"> […] </w:t>
            </w:r>
            <w:r w:rsidRPr="00662CBC">
              <w:t>Considering an EU average of 10,7% women’s representation, it is not surprising that not one EU member state reaches a share of women’s representation higher than 16,8%, which is the case in Bulgaria."</w:t>
            </w:r>
            <w:r w:rsidRPr="005D2F5A">
              <w:rPr>
                <w:rStyle w:val="FootnoteReference"/>
              </w:rPr>
              <w:footnoteReference w:id="75"/>
            </w:r>
          </w:p>
          <w:p w14:paraId="2D938F95" w14:textId="5CA868F0" w:rsidR="004116DF" w:rsidRPr="00662CBC" w:rsidRDefault="001F7E7B" w:rsidP="00E35B59">
            <w:r>
              <w:rPr>
                <w:b/>
                <w:bCs/>
              </w:rPr>
              <w:lastRenderedPageBreak/>
              <w:t xml:space="preserve">Note 3: </w:t>
            </w:r>
            <w:r w:rsidR="000D66DE" w:rsidRPr="00662CBC">
              <w:rPr>
                <w:b/>
                <w:bCs/>
              </w:rPr>
              <w:t>Possible reasons for high participation of women</w:t>
            </w:r>
            <w:r w:rsidR="000D66DE" w:rsidRPr="00662CBC">
              <w:t xml:space="preserve">: </w:t>
            </w:r>
          </w:p>
          <w:p w14:paraId="430EF4B5" w14:textId="5EEA78A2" w:rsidR="000D66DE" w:rsidRDefault="000D66DE" w:rsidP="00E35B59">
            <w:r w:rsidRPr="00662CBC">
              <w:t xml:space="preserve">“"Additional respectable and worthy gender strategy in the Bulgarian Armed Forces can be determined as parental life, </w:t>
            </w:r>
            <w:proofErr w:type="gramStart"/>
            <w:r w:rsidRPr="00662CBC">
              <w:t>rights</w:t>
            </w:r>
            <w:proofErr w:type="gramEnd"/>
            <w:r w:rsidRPr="00662CBC">
              <w:t xml:space="preserve"> and privileges. Referring to the Labor Code, the leave, which is given for maternity is 410 days for each kid and the parent permission for leave is 52 weeks for the woman along with for the man and it is moveable and manageable between the mothers and fathers. Flexible working programs and parttime service are acceptable in case of parental leave or taking care of sick or old relatives. There have been made exceptional programs for supporting parents when they work for the armed forces or if they are divorced or single”</w:t>
            </w:r>
            <w:r w:rsidR="00CE2A33">
              <w:rPr>
                <w:rStyle w:val="Heading3Char"/>
              </w:rPr>
              <w:t xml:space="preserve"> </w:t>
            </w:r>
            <w:r w:rsidR="00CE2A33">
              <w:rPr>
                <w:rStyle w:val="FootnoteReference"/>
              </w:rPr>
              <w:footnoteReference w:id="76"/>
            </w:r>
          </w:p>
          <w:p w14:paraId="2FCE8DC6" w14:textId="77777777" w:rsidR="001F7E7B" w:rsidRPr="00662CBC" w:rsidRDefault="001F7E7B" w:rsidP="001F7E7B"/>
          <w:p w14:paraId="2221C12B" w14:textId="25CC3D4B" w:rsidR="001F7E7B" w:rsidRPr="00662CBC" w:rsidRDefault="001F7E7B" w:rsidP="001F7E7B">
            <w:pPr>
              <w:rPr>
                <w:b/>
                <w:bCs/>
              </w:rPr>
            </w:pPr>
            <w:r>
              <w:rPr>
                <w:b/>
                <w:bCs/>
              </w:rPr>
              <w:t>Note 3:</w:t>
            </w:r>
            <w:r w:rsidRPr="00662CBC">
              <w:rPr>
                <w:b/>
                <w:bCs/>
              </w:rPr>
              <w:t xml:space="preserve"> Perception of women in the army</w:t>
            </w:r>
            <w:r w:rsidR="00F72A3E">
              <w:rPr>
                <w:b/>
                <w:bCs/>
              </w:rPr>
              <w:t>.</w:t>
            </w:r>
          </w:p>
          <w:p w14:paraId="03FC591B" w14:textId="77777777" w:rsidR="001F7E7B" w:rsidRPr="00662CBC" w:rsidRDefault="001F7E7B" w:rsidP="001F7E7B">
            <w:r w:rsidRPr="00662CBC">
              <w:t xml:space="preserve">“In the </w:t>
            </w:r>
            <w:proofErr w:type="gramStart"/>
            <w:r w:rsidRPr="00662CBC">
              <w:t>army as a whole, there</w:t>
            </w:r>
            <w:proofErr w:type="gramEnd"/>
            <w:r w:rsidRPr="00662CBC">
              <w:t xml:space="preserve"> is a good socio- psychological climate conductive to the </w:t>
            </w:r>
            <w:r w:rsidRPr="00662CBC">
              <w:lastRenderedPageBreak/>
              <w:t>successful professional realization of female servicemen. The attitude of male soldiers towards the female army is positive. Most of them accept them as equal in service and do not underestimate them. The overwhelming majority of women in the army have the opinion that there is no need to enjoy any special references.”</w:t>
            </w:r>
            <w:r w:rsidRPr="005D2F5A">
              <w:rPr>
                <w:rStyle w:val="FootnoteReference"/>
              </w:rPr>
              <w:footnoteReference w:id="77"/>
            </w:r>
          </w:p>
          <w:p w14:paraId="77E8476E" w14:textId="04516EA9" w:rsidR="001F7E7B" w:rsidRPr="00662CBC" w:rsidRDefault="001F7E7B" w:rsidP="00E35B59"/>
        </w:tc>
        <w:tc>
          <w:tcPr>
            <w:tcW w:w="949" w:type="pct"/>
            <w:shd w:val="clear" w:color="auto" w:fill="auto"/>
          </w:tcPr>
          <w:p w14:paraId="7CED6A86" w14:textId="77777777" w:rsidR="00A6032B" w:rsidRPr="00662CBC" w:rsidRDefault="00A6032B" w:rsidP="00E35B59">
            <w:pPr>
              <w:rPr>
                <w:b/>
                <w:bCs/>
              </w:rPr>
            </w:pPr>
            <w:r w:rsidRPr="00662CBC">
              <w:rPr>
                <w:b/>
                <w:bCs/>
              </w:rPr>
              <w:lastRenderedPageBreak/>
              <w:t xml:space="preserve">No mandatory military </w:t>
            </w:r>
            <w:proofErr w:type="gramStart"/>
            <w:r w:rsidRPr="00662CBC">
              <w:rPr>
                <w:b/>
                <w:bCs/>
              </w:rPr>
              <w:t>service</w:t>
            </w:r>
            <w:proofErr w:type="gramEnd"/>
            <w:r w:rsidRPr="00662CBC">
              <w:rPr>
                <w:b/>
                <w:bCs/>
              </w:rPr>
              <w:t xml:space="preserve"> </w:t>
            </w:r>
          </w:p>
          <w:p w14:paraId="2CD9138A" w14:textId="26B95824" w:rsidR="004116DF" w:rsidRPr="00662CBC" w:rsidRDefault="00A6032B" w:rsidP="00A6032B">
            <w:r w:rsidRPr="00662CBC">
              <w:t>“18 years of age for voluntary military service; conscription ended in 2007; service obligation 6-9 months (2022)</w:t>
            </w:r>
            <w:r w:rsidRPr="00662CBC">
              <w:br/>
            </w:r>
            <w:r w:rsidRPr="00662CBC">
              <w:rPr>
                <w:b/>
                <w:bCs/>
              </w:rPr>
              <w:t>note 1:</w:t>
            </w:r>
            <w:r w:rsidRPr="00662CBC">
              <w:t> in 2021, women comprised about 17% of the Bulgarian military's full-time personnel</w:t>
            </w:r>
            <w:r w:rsidRPr="00662CBC">
              <w:br/>
            </w:r>
            <w:r w:rsidRPr="00662CBC">
              <w:rPr>
                <w:b/>
                <w:bCs/>
              </w:rPr>
              <w:t>note 2:</w:t>
            </w:r>
            <w:r w:rsidRPr="00662CBC">
              <w:t xml:space="preserve"> in 2020, Bulgaria </w:t>
            </w:r>
            <w:r w:rsidRPr="00662CBC">
              <w:lastRenderedPageBreak/>
              <w:t>announced a program to allow every citizen up to the age of 40 to join the armed forces for 6 months of military service in the voluntary reserve”</w:t>
            </w:r>
            <w:r w:rsidR="004116DF" w:rsidRPr="005D2F5A">
              <w:rPr>
                <w:rStyle w:val="FootnoteReference"/>
              </w:rPr>
              <w:footnoteReference w:id="78"/>
            </w:r>
          </w:p>
        </w:tc>
        <w:tc>
          <w:tcPr>
            <w:tcW w:w="677" w:type="pct"/>
            <w:shd w:val="clear" w:color="auto" w:fill="auto"/>
          </w:tcPr>
          <w:p w14:paraId="47FE00F2" w14:textId="522A0627" w:rsidR="000B26D2" w:rsidRDefault="00000000" w:rsidP="000B26D2">
            <w:hyperlink r:id="rId25" w:history="1">
              <w:r w:rsidR="00A92EF1" w:rsidRPr="00B05B27">
                <w:rPr>
                  <w:rStyle w:val="Hyperlink"/>
                  <w:b/>
                  <w:bCs/>
                </w:rPr>
                <w:t>NAP</w:t>
              </w:r>
              <w:r w:rsidR="00A6032B" w:rsidRPr="00B05B27">
                <w:rPr>
                  <w:rStyle w:val="Hyperlink"/>
                  <w:b/>
                  <w:bCs/>
                </w:rPr>
                <w:t xml:space="preserve"> 2020-2025</w:t>
              </w:r>
            </w:hyperlink>
            <w:r w:rsidR="00A92EF1" w:rsidRPr="00662CBC">
              <w:t>:</w:t>
            </w:r>
            <w:r w:rsidR="000B26D2" w:rsidRPr="00662CBC">
              <w:t xml:space="preserve"> aims at strengthening the participation but with no </w:t>
            </w:r>
            <w:r w:rsidR="00E34C65">
              <w:t>precise</w:t>
            </w:r>
            <w:r w:rsidR="000B26D2" w:rsidRPr="00662CBC">
              <w:t xml:space="preserve"> goals</w:t>
            </w:r>
            <w:r w:rsidR="000B26D2" w:rsidRPr="005D2F5A">
              <w:rPr>
                <w:rStyle w:val="FootnoteReference"/>
              </w:rPr>
              <w:footnoteReference w:id="79"/>
            </w:r>
          </w:p>
          <w:p w14:paraId="34E7683C" w14:textId="66C44682" w:rsidR="0078726C" w:rsidRPr="00662CBC" w:rsidRDefault="0078726C" w:rsidP="000B26D2">
            <w:r>
              <w:t>Dominant focus is participation.</w:t>
            </w:r>
            <w:r w:rsidRPr="005D2F5A">
              <w:rPr>
                <w:rStyle w:val="FootnoteReference"/>
              </w:rPr>
              <w:footnoteReference w:id="80"/>
            </w:r>
          </w:p>
          <w:p w14:paraId="25092E84" w14:textId="76770CBE" w:rsidR="004116DF" w:rsidRPr="00662CBC" w:rsidRDefault="004116DF" w:rsidP="00E35B59"/>
        </w:tc>
      </w:tr>
      <w:tr w:rsidR="005A7203" w:rsidRPr="00662CBC" w14:paraId="6804CA95" w14:textId="77777777" w:rsidTr="00F37D6B">
        <w:tc>
          <w:tcPr>
            <w:tcW w:w="139" w:type="pct"/>
            <w:shd w:val="clear" w:color="auto" w:fill="auto"/>
          </w:tcPr>
          <w:p w14:paraId="75851890"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0E0C30A5" w14:textId="77777777" w:rsidR="004116DF" w:rsidRPr="00662CBC" w:rsidRDefault="004116DF" w:rsidP="006064D6">
            <w:pPr>
              <w:pStyle w:val="Heading3"/>
            </w:pPr>
            <w:bookmarkStart w:id="14" w:name="_Toc132806698"/>
            <w:r w:rsidRPr="00662CBC">
              <w:t>Croatia</w:t>
            </w:r>
            <w:bookmarkEnd w:id="14"/>
            <w:r w:rsidRPr="00662CBC">
              <w:t xml:space="preserve"> </w:t>
            </w:r>
          </w:p>
          <w:p w14:paraId="04B2E5D0" w14:textId="77777777" w:rsidR="004116DF" w:rsidRPr="00662CBC" w:rsidRDefault="004116DF" w:rsidP="006064D6">
            <w:pPr>
              <w:jc w:val="left"/>
              <w:rPr>
                <w:b/>
                <w:bCs/>
                <w:szCs w:val="20"/>
              </w:rPr>
            </w:pPr>
          </w:p>
        </w:tc>
        <w:tc>
          <w:tcPr>
            <w:tcW w:w="855" w:type="pct"/>
            <w:shd w:val="clear" w:color="auto" w:fill="auto"/>
          </w:tcPr>
          <w:p w14:paraId="7E668C80" w14:textId="668836DA" w:rsidR="004116DF" w:rsidRPr="00662CBC" w:rsidRDefault="004116DF" w:rsidP="00A47701">
            <w:r w:rsidRPr="00662CBC">
              <w:t>s. NDC submitted by EU</w:t>
            </w:r>
          </w:p>
        </w:tc>
        <w:tc>
          <w:tcPr>
            <w:tcW w:w="1023" w:type="pct"/>
            <w:shd w:val="clear" w:color="auto" w:fill="auto"/>
          </w:tcPr>
          <w:p w14:paraId="1E33B96E" w14:textId="027A2E6F" w:rsidR="00D36514" w:rsidRPr="00662CBC" w:rsidRDefault="002C4E0F" w:rsidP="0092033B">
            <w:r w:rsidRPr="00662CBC">
              <w:rPr>
                <w:b/>
                <w:bCs/>
              </w:rPr>
              <w:t>Legislated quotas</w:t>
            </w:r>
            <w:r w:rsidRPr="00662CBC">
              <w:t xml:space="preserve"> </w:t>
            </w:r>
          </w:p>
          <w:p w14:paraId="06039E4D" w14:textId="49A4EFFD" w:rsidR="00CA56C0" w:rsidRPr="00662CBC" w:rsidRDefault="00000000" w:rsidP="00336BD5">
            <w:pPr>
              <w:rPr>
                <w:b/>
                <w:bCs/>
              </w:rPr>
            </w:pPr>
            <w:hyperlink r:id="rId26" w:anchor="page=4" w:history="1">
              <w:r w:rsidR="0054649C" w:rsidRPr="00662CBC">
                <w:rPr>
                  <w:rStyle w:val="Hyperlink"/>
                </w:rPr>
                <w:t>Gender Equality Ac</w:t>
              </w:r>
              <w:r w:rsidR="00EE048E" w:rsidRPr="00662CBC">
                <w:rPr>
                  <w:rStyle w:val="Hyperlink"/>
                </w:rPr>
                <w:t xml:space="preserve">t, </w:t>
              </w:r>
              <w:r w:rsidR="00156C70">
                <w:rPr>
                  <w:rStyle w:val="Hyperlink"/>
                </w:rPr>
                <w:t>a</w:t>
              </w:r>
              <w:r w:rsidR="00EE048E" w:rsidRPr="00662CBC">
                <w:rPr>
                  <w:rStyle w:val="Hyperlink"/>
                </w:rPr>
                <w:t>rt.1</w:t>
              </w:r>
              <w:r w:rsidR="00077D47" w:rsidRPr="00662CBC">
                <w:rPr>
                  <w:rStyle w:val="Hyperlink"/>
                </w:rPr>
                <w:t>2(3)</w:t>
              </w:r>
            </w:hyperlink>
            <w:r w:rsidR="0054649C" w:rsidRPr="00662CBC">
              <w:t>:</w:t>
            </w:r>
            <w:r w:rsidR="00077D47" w:rsidRPr="00662CBC">
              <w:t xml:space="preserve"> quota of 40%</w:t>
            </w:r>
          </w:p>
          <w:p w14:paraId="65EB593D" w14:textId="77777777" w:rsidR="00B91A80" w:rsidRPr="00662CBC" w:rsidRDefault="00B91A80" w:rsidP="00B91A80">
            <w:pPr>
              <w:jc w:val="left"/>
              <w:rPr>
                <w:b/>
                <w:bCs/>
              </w:rPr>
            </w:pPr>
            <w:r w:rsidRPr="00662CBC">
              <w:t>“</w:t>
            </w:r>
            <w:r w:rsidRPr="00662CBC">
              <w:rPr>
                <w:b/>
                <w:bCs/>
              </w:rPr>
              <w:t>II. SPECIFIC MEASURES</w:t>
            </w:r>
          </w:p>
          <w:p w14:paraId="10CB5FBD" w14:textId="77777777" w:rsidR="00B91A80" w:rsidRPr="00662CBC" w:rsidRDefault="00B91A80" w:rsidP="00B91A80">
            <w:pPr>
              <w:jc w:val="left"/>
              <w:rPr>
                <w:b/>
                <w:bCs/>
              </w:rPr>
            </w:pPr>
            <w:r w:rsidRPr="00662CBC">
              <w:rPr>
                <w:b/>
                <w:bCs/>
              </w:rPr>
              <w:t>Article 9</w:t>
            </w:r>
          </w:p>
          <w:p w14:paraId="6524A2AF" w14:textId="77777777" w:rsidR="00B91A80" w:rsidRPr="00662CBC" w:rsidRDefault="00B91A80" w:rsidP="00B91A80">
            <w:pPr>
              <w:jc w:val="left"/>
            </w:pPr>
            <w:r w:rsidRPr="00662CBC">
              <w:t>(1) Specific measures are specific benefits enabling persons of a specific gender to have equal participation in public life, eliminating existing inequalities or ensuring them rights they were denied in the past.</w:t>
            </w:r>
            <w:r w:rsidRPr="00662CBC">
              <w:br/>
              <w:t xml:space="preserve">(2) Specific measures shall be introduced on a temporary basis with a </w:t>
            </w:r>
            <w:r w:rsidRPr="00662CBC">
              <w:lastRenderedPageBreak/>
              <w:t xml:space="preserve">view to achieving genuine equality of women and men and they shall not be deemed to be discrimination. </w:t>
            </w:r>
            <w:r w:rsidRPr="00662CBC">
              <w:br/>
              <w:t>(3) Measures aimed at protecting women, in particular in relation to pregnancy and maternity, shall not be deemed to be discrimination.</w:t>
            </w:r>
            <w:r w:rsidRPr="00662CBC">
              <w:br/>
              <w:t>(4) With a view to ensuring full equality of men and women in practice, the principle of equal treatment shall not preclude maintaining or adopting specific measures to prevent or compensate for disadvantages on the grounds of sex in the area of access to and supply of goods and services.</w:t>
            </w:r>
          </w:p>
          <w:p w14:paraId="49820949" w14:textId="77777777" w:rsidR="00B91A80" w:rsidRPr="00662CBC" w:rsidRDefault="00B91A80" w:rsidP="00B91A80">
            <w:pPr>
              <w:jc w:val="left"/>
            </w:pPr>
            <w:r w:rsidRPr="00662CBC">
              <w:rPr>
                <w:b/>
                <w:bCs/>
              </w:rPr>
              <w:t>Article 10</w:t>
            </w:r>
            <w:r w:rsidRPr="00662CBC">
              <w:rPr>
                <w:b/>
                <w:bCs/>
              </w:rPr>
              <w:br/>
            </w:r>
            <w:r w:rsidRPr="00662CBC">
              <w:t>Specific measures shall be laid down in laws and other regulations regulating specific areas of public life.</w:t>
            </w:r>
          </w:p>
          <w:p w14:paraId="1CAB1D13" w14:textId="77777777" w:rsidR="00B91A80" w:rsidRPr="00662CBC" w:rsidRDefault="00B91A80" w:rsidP="00B91A80">
            <w:r w:rsidRPr="00662CBC">
              <w:rPr>
                <w:b/>
                <w:bCs/>
              </w:rPr>
              <w:t>Article 11</w:t>
            </w:r>
            <w:r w:rsidRPr="00662CBC">
              <w:rPr>
                <w:b/>
                <w:bCs/>
              </w:rPr>
              <w:br/>
            </w:r>
            <w:r w:rsidRPr="00662CBC">
              <w:t>(1) Public administration bodies and legal persons that are majority-owned by the state shall apply specific measures and adopt action plans for the promotion and establishment of gender equality.</w:t>
            </w:r>
            <w:r w:rsidRPr="00662CBC">
              <w:br/>
              <w:t xml:space="preserve">(2) Bodies referred to in paragraph 1 of this Article shall adopt action plans from their remit on the basis of an analysis of the status of women and men every four years, they shall </w:t>
            </w:r>
            <w:r w:rsidRPr="00662CBC">
              <w:lastRenderedPageBreak/>
              <w:t xml:space="preserve">establish reasons for the introduction of specific measures, goals to be achieved, method of implementation and implementation control methods. </w:t>
            </w:r>
            <w:r w:rsidRPr="00662CBC">
              <w:br/>
              <w:t xml:space="preserve">(3) The plan for implementing activities related to the measures of the National Policy for the Promotion of Gender Equality from the remit and the scope of activity of legal persons referred to in paragraph 1 of this Article shall be an integral part of the action plans for the promotion and establishment of gender equality. </w:t>
            </w:r>
            <w:r w:rsidRPr="00662CBC">
              <w:br/>
              <w:t xml:space="preserve">(4) Action plans referred to in paragraph 1 of this Article shall first be approved by the Office for Gender Equality of the Government of the Republic of Croatia. </w:t>
            </w:r>
            <w:r w:rsidRPr="00662CBC">
              <w:br/>
              <w:t xml:space="preserve">(5) Units of local and regional self-government, legal persons with public authorities and legal persons in the business sector, including private companies, crafts businesses and legal persons that are majority-owned by the units of local and regional self-government with more than twenty employees, shall incorporate anti-discrimination provisions and measures with a view to achieving gender equality in their general acts. </w:t>
            </w:r>
            <w:r w:rsidRPr="00662CBC">
              <w:br/>
              <w:t xml:space="preserve">(6) Social partners shall, </w:t>
            </w:r>
            <w:proofErr w:type="gramStart"/>
            <w:r w:rsidRPr="00662CBC">
              <w:t>in the course of</w:t>
            </w:r>
            <w:proofErr w:type="gramEnd"/>
            <w:r w:rsidRPr="00662CBC">
              <w:t xml:space="preserve"> collective bargaining and in collective agreements at all levels, comply </w:t>
            </w:r>
            <w:r w:rsidRPr="00662CBC">
              <w:lastRenderedPageBreak/>
              <w:t>with the provisions of this Act and with the measures aimed at ensuring gender equality.</w:t>
            </w:r>
          </w:p>
          <w:p w14:paraId="6B87166D" w14:textId="55411EE4" w:rsidR="00B91A80" w:rsidRPr="00662CBC" w:rsidRDefault="00B91A80" w:rsidP="00B91A80">
            <w:pPr>
              <w:jc w:val="left"/>
            </w:pPr>
            <w:r w:rsidRPr="00662CBC">
              <w:rPr>
                <w:b/>
                <w:bCs/>
              </w:rPr>
              <w:t xml:space="preserve">Article 12 </w:t>
            </w:r>
            <w:r w:rsidRPr="00662CBC">
              <w:rPr>
                <w:b/>
                <w:bCs/>
              </w:rPr>
              <w:br/>
            </w:r>
            <w:r w:rsidRPr="00662CBC">
              <w:t xml:space="preserve">(1) The implementation of specific measures shall serve to promote equal participation of women and men in legislative, </w:t>
            </w:r>
            <w:proofErr w:type="gramStart"/>
            <w:r w:rsidRPr="00662CBC">
              <w:t>executive</w:t>
            </w:r>
            <w:proofErr w:type="gramEnd"/>
            <w:r w:rsidRPr="00662CBC">
              <w:t xml:space="preserve"> and judicial bodies, including public services, and to gradually increase the participation of the underrepresented sex in order for its representation to reach the level of its percentage in the total population of the Republic of Croatia. </w:t>
            </w:r>
            <w:r w:rsidRPr="00662CBC">
              <w:br/>
              <w:t xml:space="preserve">(2) With a view to achieving the goal referred to in paragraph 1 of this Article, specific measures shall be introduced where one sex is substantially underrepresented. </w:t>
            </w:r>
            <w:r w:rsidRPr="00662CBC">
              <w:br/>
              <w:t xml:space="preserve">(3) One sex is substantially underrepresented within the meaning of paragraph 2 of this Article if it accounts for less than 40% of representatives in political and public </w:t>
            </w:r>
            <w:proofErr w:type="spellStart"/>
            <w:r w:rsidRPr="00662CBC">
              <w:t>decisionmaking</w:t>
            </w:r>
            <w:proofErr w:type="spellEnd"/>
            <w:r w:rsidRPr="00662CBC">
              <w:t xml:space="preserve"> bodies. </w:t>
            </w:r>
            <w:r w:rsidRPr="00662CBC">
              <w:br/>
              <w:t xml:space="preserve">(4) When making appointments to public </w:t>
            </w:r>
            <w:proofErr w:type="spellStart"/>
            <w:r w:rsidRPr="00662CBC">
              <w:t>boies</w:t>
            </w:r>
            <w:proofErr w:type="spellEnd"/>
            <w:r w:rsidRPr="00662CBC">
              <w:t xml:space="preserve"> and bodies of units of local or regional </w:t>
            </w:r>
            <w:proofErr w:type="spellStart"/>
            <w:r w:rsidRPr="00662CBC">
              <w:t>selfgovernment</w:t>
            </w:r>
            <w:proofErr w:type="spellEnd"/>
            <w:r w:rsidRPr="00662CBC">
              <w:t xml:space="preserve"> and other legal persons with public authorities, the balance between both sexes shall be sought in terms of their representation. </w:t>
            </w:r>
            <w:r w:rsidRPr="00662CBC">
              <w:br/>
              <w:t xml:space="preserve">(5) When making appointments to </w:t>
            </w:r>
            <w:r w:rsidRPr="00662CBC">
              <w:lastRenderedPageBreak/>
              <w:t>diplomatic offices, members of boards, commissions and delegations representing the Republic of Croatia at the international level, public bodies shall seek to ensure the balance in terms of representation of women and men.”</w:t>
            </w:r>
            <w:r w:rsidRPr="005D2F5A">
              <w:rPr>
                <w:rStyle w:val="FootnoteReference"/>
              </w:rPr>
              <w:footnoteReference w:id="81"/>
            </w:r>
          </w:p>
          <w:p w14:paraId="5007C5EE" w14:textId="77777777" w:rsidR="00B91A80" w:rsidRPr="00662CBC" w:rsidRDefault="00B91A80" w:rsidP="00FD3C77">
            <w:pPr>
              <w:rPr>
                <w:b/>
                <w:bCs/>
              </w:rPr>
            </w:pPr>
          </w:p>
          <w:p w14:paraId="54505653" w14:textId="54FEDA41" w:rsidR="00FD3C77" w:rsidRPr="00662CBC" w:rsidRDefault="00FD3C77" w:rsidP="00FD3C77">
            <w:pPr>
              <w:rPr>
                <w:b/>
                <w:bCs/>
              </w:rPr>
            </w:pPr>
            <w:r w:rsidRPr="00662CBC">
              <w:rPr>
                <w:b/>
                <w:bCs/>
              </w:rPr>
              <w:t xml:space="preserve">NAP </w:t>
            </w:r>
            <w:r w:rsidR="00496D5A" w:rsidRPr="00662CBC">
              <w:rPr>
                <w:b/>
                <w:bCs/>
              </w:rPr>
              <w:t>2019-2023</w:t>
            </w:r>
            <w:r w:rsidR="00496D5A" w:rsidRPr="00662CBC">
              <w:t xml:space="preserve"> (2019):</w:t>
            </w:r>
          </w:p>
          <w:p w14:paraId="4DE10919" w14:textId="77777777" w:rsidR="00FD3C77" w:rsidRDefault="00FD3C77" w:rsidP="00FD3C77">
            <w:r w:rsidRPr="00662CBC">
              <w:t>“2.2.7. The MFEA has significantly increased women’s participation at all decision-making levels within the Foreign Service, and there are more women than men on high-ranking officials’ and all other managerial positions in the Ministry. There are more women than men in all diplomatic positions except the highest-ranking, those of ambassadors. However, it is encouraging that the number of women at the head of diplomatic missions of the Republic of Croatia has been increasing with each year, and has tripled 2011 when there were only six, to nineteen in early 2019.”</w:t>
            </w:r>
            <w:r w:rsidR="00496D5A" w:rsidRPr="005D2F5A">
              <w:rPr>
                <w:rStyle w:val="FootnoteReference"/>
              </w:rPr>
              <w:footnoteReference w:id="82"/>
            </w:r>
          </w:p>
          <w:p w14:paraId="6639629F" w14:textId="77777777" w:rsidR="00932D6B" w:rsidRDefault="00932D6B" w:rsidP="00FD3C77"/>
          <w:p w14:paraId="428959CF" w14:textId="77777777" w:rsidR="00932D6B" w:rsidRDefault="00932D6B" w:rsidP="00932D6B">
            <w:r w:rsidRPr="009043EC">
              <w:rPr>
                <w:b/>
                <w:bCs/>
              </w:rPr>
              <w:t>Concluding Observations</w:t>
            </w:r>
            <w:r>
              <w:rPr>
                <w:b/>
                <w:bCs/>
              </w:rPr>
              <w:t xml:space="preserve"> </w:t>
            </w:r>
            <w:r>
              <w:t>(2015):</w:t>
            </w:r>
          </w:p>
          <w:p w14:paraId="2A473131" w14:textId="77777777" w:rsidR="00932D6B" w:rsidRDefault="00932D6B" w:rsidP="00932D6B">
            <w:r>
              <w:rPr>
                <w:b/>
                <w:bCs/>
              </w:rPr>
              <w:lastRenderedPageBreak/>
              <w:t>“</w:t>
            </w:r>
            <w:r w:rsidRPr="009043EC">
              <w:rPr>
                <w:b/>
                <w:bCs/>
              </w:rPr>
              <w:t>Participation in political and public life</w:t>
            </w:r>
            <w:r w:rsidRPr="009043EC">
              <w:t xml:space="preserve"> </w:t>
            </w:r>
          </w:p>
          <w:p w14:paraId="0836FA39" w14:textId="77777777" w:rsidR="00932D6B" w:rsidRDefault="00932D6B" w:rsidP="00932D6B">
            <w:r w:rsidRPr="009043EC">
              <w:t xml:space="preserve">22. [...] The Committee is also specifically concerned: </w:t>
            </w:r>
          </w:p>
          <w:p w14:paraId="402A12E1" w14:textId="77777777" w:rsidR="00932D6B" w:rsidRDefault="00932D6B" w:rsidP="00932D6B">
            <w:r w:rsidRPr="009043EC">
              <w:t xml:space="preserve">(c) That female diplomats do not enjoy regular maternity leave when posted overseas and are required to return to the capital </w:t>
            </w:r>
            <w:proofErr w:type="gramStart"/>
            <w:r w:rsidRPr="009043EC">
              <w:t>in order to</w:t>
            </w:r>
            <w:proofErr w:type="gramEnd"/>
            <w:r w:rsidRPr="009043EC">
              <w:t xml:space="preserve"> exercise their right to maternity leave.</w:t>
            </w:r>
            <w:r>
              <w:t>”</w:t>
            </w:r>
            <w:r>
              <w:rPr>
                <w:rStyle w:val="FootnoteReference"/>
              </w:rPr>
              <w:footnoteReference w:id="83"/>
            </w:r>
          </w:p>
          <w:p w14:paraId="29232818" w14:textId="77777777" w:rsidR="00932D6B" w:rsidRDefault="00932D6B" w:rsidP="00932D6B"/>
          <w:p w14:paraId="1C5FB8A4" w14:textId="0CA06716" w:rsidR="00932D6B" w:rsidRPr="00662CBC" w:rsidRDefault="00932D6B" w:rsidP="00FD3C77"/>
        </w:tc>
        <w:tc>
          <w:tcPr>
            <w:tcW w:w="903" w:type="pct"/>
            <w:shd w:val="clear" w:color="auto" w:fill="auto"/>
          </w:tcPr>
          <w:p w14:paraId="0040B89F" w14:textId="6E08DB47" w:rsidR="00806CBD" w:rsidRDefault="000F3550" w:rsidP="002E200C">
            <w:r>
              <w:rPr>
                <w:rStyle w:val="FootnoteReference"/>
                <w:b/>
                <w:bCs/>
              </w:rPr>
              <w:lastRenderedPageBreak/>
              <w:t>—</w:t>
            </w:r>
          </w:p>
          <w:p w14:paraId="10260A35" w14:textId="63AB4D35" w:rsidR="00140C70" w:rsidRDefault="002E200C" w:rsidP="002E200C">
            <w:r w:rsidRPr="002E200C">
              <w:rPr>
                <w:rStyle w:val="FootnoteReference"/>
                <w:vertAlign w:val="baseline"/>
              </w:rPr>
              <w:t>“There is no quota system for women or men in the Croatian Armed Forces (CAF).</w:t>
            </w:r>
            <w:r w:rsidRPr="002E200C">
              <w:t>”</w:t>
            </w:r>
            <w:r>
              <w:rPr>
                <w:rStyle w:val="FootnoteReference"/>
              </w:rPr>
              <w:footnoteReference w:id="84"/>
            </w:r>
          </w:p>
          <w:p w14:paraId="36CA7F5A" w14:textId="77777777" w:rsidR="00904838" w:rsidRDefault="00904838" w:rsidP="00904838">
            <w:r>
              <w:t>“</w:t>
            </w:r>
            <w:r w:rsidRPr="00E96A95">
              <w:t xml:space="preserve">There is no quota system for men or women in the CAF. There are no restrictions on the incorporation of women in the CAF or their participation in military operations. The Personnel Directorate of the General Staff of the CAF </w:t>
            </w:r>
            <w:proofErr w:type="spellStart"/>
            <w:r w:rsidRPr="00E96A95">
              <w:t>organises</w:t>
            </w:r>
            <w:proofErr w:type="spellEnd"/>
            <w:r w:rsidRPr="00E96A95">
              <w:t xml:space="preserve"> efforts related to: integrating gender perspectives in the CAF (drafting </w:t>
            </w:r>
            <w:r w:rsidRPr="00E96A95">
              <w:lastRenderedPageBreak/>
              <w:t>relevant documents, policies, orders, training plans, gender-related guidance); attendance in basic to advanced level training events (workshops, panels, courses, etc.) for gender advisors (GENADs), gender focal points (GFPs), instructors on gender perspectives, and other personnel; engagement of gender perspective Subject Matter Experts (SMEs) in relevant activities.</w:t>
            </w:r>
            <w:r>
              <w:t>”</w:t>
            </w:r>
            <w:r>
              <w:rPr>
                <w:rStyle w:val="FootnoteReference"/>
              </w:rPr>
              <w:footnoteReference w:id="85"/>
            </w:r>
          </w:p>
          <w:p w14:paraId="3DBDD614" w14:textId="77777777" w:rsidR="00904838" w:rsidRPr="002E200C" w:rsidRDefault="00904838" w:rsidP="002E200C"/>
          <w:p w14:paraId="5084E9AA" w14:textId="618CC8CE" w:rsidR="00DB0006" w:rsidRPr="00662CBC" w:rsidRDefault="00904838" w:rsidP="00435A57">
            <w:r>
              <w:rPr>
                <w:b/>
                <w:bCs/>
              </w:rPr>
              <w:t>Note</w:t>
            </w:r>
            <w:r w:rsidRPr="00224758">
              <w:t xml:space="preserve">: </w:t>
            </w:r>
            <w:r w:rsidR="00DB0006" w:rsidRPr="00662CBC">
              <w:t xml:space="preserve">The </w:t>
            </w:r>
            <w:hyperlink r:id="rId27" w:history="1">
              <w:r w:rsidR="00DB0006" w:rsidRPr="00662CBC">
                <w:rPr>
                  <w:rStyle w:val="Hyperlink"/>
                </w:rPr>
                <w:t>Gender Equality Act</w:t>
              </w:r>
            </w:hyperlink>
            <w:r w:rsidR="00DB0006" w:rsidRPr="00662CBC">
              <w:t xml:space="preserve"> does </w:t>
            </w:r>
            <w:r w:rsidR="00FE155D" w:rsidRPr="00662CBC">
              <w:t xml:space="preserve">not mention whether it applies to security forces </w:t>
            </w:r>
          </w:p>
          <w:p w14:paraId="7F8AB340" w14:textId="15D291AE" w:rsidR="00C50216" w:rsidRPr="00E96A95" w:rsidRDefault="00C50216" w:rsidP="00C50216">
            <w:pPr>
              <w:rPr>
                <w:b/>
                <w:bCs/>
              </w:rPr>
            </w:pPr>
            <w:r>
              <w:rPr>
                <w:b/>
                <w:bCs/>
              </w:rPr>
              <w:t>Note 2</w:t>
            </w:r>
            <w:r w:rsidRPr="00C50216">
              <w:t xml:space="preserve">: </w:t>
            </w:r>
            <w:r>
              <w:rPr>
                <w:b/>
                <w:bCs/>
              </w:rPr>
              <w:t xml:space="preserve">Suitable military equipment/facilities/uniforms for both </w:t>
            </w:r>
            <w:proofErr w:type="gramStart"/>
            <w:r>
              <w:rPr>
                <w:b/>
                <w:bCs/>
              </w:rPr>
              <w:t>sexes</w:t>
            </w:r>
            <w:proofErr w:type="gramEnd"/>
            <w:r>
              <w:rPr>
                <w:b/>
                <w:bCs/>
              </w:rPr>
              <w:t xml:space="preserve"> </w:t>
            </w:r>
          </w:p>
          <w:p w14:paraId="4E0B15E0" w14:textId="2EFC1A23" w:rsidR="00FE155D" w:rsidRDefault="00C50216" w:rsidP="00C50216">
            <w:r>
              <w:t>“</w:t>
            </w:r>
            <w:r w:rsidRPr="00E96A95">
              <w:t xml:space="preserve">Military equipment is suitable for both men and women. Uniforms are adapted for both men and women. There is a different design of ‘Class A’ and ‘Dress’ uniforms for men and women, whereas combat uniforms have not been specifically adapted to women but are regarded as unisex and are available in a wide range of sizes. Military facilities are adapted for both men and </w:t>
            </w:r>
            <w:r w:rsidRPr="00E96A95">
              <w:lastRenderedPageBreak/>
              <w:t>women and CAF barracks and training area facilities have separate/adequate lodging and sanitary installations.</w:t>
            </w:r>
            <w:r w:rsidRPr="00E96A95">
              <w:rPr>
                <w:rStyle w:val="FootnoteReference"/>
              </w:rPr>
              <w:t xml:space="preserve"> </w:t>
            </w:r>
            <w:r>
              <w:rPr>
                <w:rStyle w:val="FootnoteReference"/>
              </w:rPr>
              <w:footnoteReference w:id="86"/>
            </w:r>
          </w:p>
          <w:p w14:paraId="18837940" w14:textId="77777777" w:rsidR="00C50216" w:rsidRPr="00662CBC" w:rsidRDefault="00C50216" w:rsidP="00C50216"/>
          <w:p w14:paraId="1E6258B7" w14:textId="3CADA25A" w:rsidR="00140C70" w:rsidRPr="00662CBC" w:rsidRDefault="002E200C" w:rsidP="00140C70">
            <w:r w:rsidRPr="002E200C">
              <w:rPr>
                <w:b/>
                <w:bCs/>
              </w:rPr>
              <w:t>Note</w:t>
            </w:r>
            <w:r w:rsidR="00C50216">
              <w:rPr>
                <w:b/>
                <w:bCs/>
              </w:rPr>
              <w:t xml:space="preserve"> 3</w:t>
            </w:r>
            <w:r w:rsidRPr="00224758">
              <w:t>:</w:t>
            </w:r>
            <w:r w:rsidRPr="002E200C">
              <w:rPr>
                <w:b/>
                <w:bCs/>
              </w:rPr>
              <w:t xml:space="preserve"> </w:t>
            </w:r>
            <w:r w:rsidR="00224758">
              <w:rPr>
                <w:b/>
                <w:bCs/>
              </w:rPr>
              <w:t xml:space="preserve">The current make-up of the Armed forces </w:t>
            </w:r>
            <w:proofErr w:type="gramStart"/>
            <w:r w:rsidR="00224758">
              <w:rPr>
                <w:b/>
                <w:bCs/>
              </w:rPr>
              <w:t>according</w:t>
            </w:r>
            <w:proofErr w:type="gramEnd"/>
            <w:r w:rsidR="00224758">
              <w:rPr>
                <w:b/>
                <w:bCs/>
              </w:rPr>
              <w:t xml:space="preserve"> the </w:t>
            </w:r>
            <w:r w:rsidR="00140C70" w:rsidRPr="00662CBC">
              <w:rPr>
                <w:b/>
                <w:bCs/>
              </w:rPr>
              <w:t>NAP 2019-2023</w:t>
            </w:r>
            <w:r w:rsidR="00140C70" w:rsidRPr="00662CBC">
              <w:t xml:space="preserve"> (2019):</w:t>
            </w:r>
          </w:p>
          <w:p w14:paraId="627492CF" w14:textId="2015D24C" w:rsidR="00DF7FEE" w:rsidRPr="00662CBC" w:rsidRDefault="00EE136F" w:rsidP="0012070E">
            <w:r w:rsidRPr="00662CBC">
              <w:t xml:space="preserve">“2.2.3. In the area of participation, concrete and significant results have been achieved as regards participation of women in the armed forces, the police and national security system –areas traditionally considered male. In this context, it is worth mentioning the first woman with the rank of General in the Armed Forces, Brigadier General </w:t>
            </w:r>
            <w:proofErr w:type="spellStart"/>
            <w:r w:rsidRPr="00662CBC">
              <w:t>Gordana</w:t>
            </w:r>
            <w:proofErr w:type="spellEnd"/>
            <w:r w:rsidRPr="00662CBC">
              <w:t xml:space="preserve"> </w:t>
            </w:r>
            <w:proofErr w:type="spellStart"/>
            <w:r w:rsidRPr="00662CBC">
              <w:t>Garašić</w:t>
            </w:r>
            <w:proofErr w:type="spellEnd"/>
            <w:r w:rsidRPr="00662CBC">
              <w:t>, who was also the first woman to hold a General post in the ISAF operation in Afghanistan, where she served as Gender</w:t>
            </w:r>
            <w:r w:rsidR="0012070E" w:rsidRPr="00662CBC">
              <w:t xml:space="preserve"> Advisor to the ISAF Commander until the end of 2014. Since July 2016, she has been assigned to the post of Deputy Director of the Centre for Security Cooperation in SE Europe (RACVIAC) </w:t>
            </w:r>
            <w:r w:rsidR="00DF7FEE" w:rsidRPr="00662CBC">
              <w:t xml:space="preserve">[RACVIAC — The Centre for Security </w:t>
            </w:r>
            <w:r w:rsidR="00DF7FEE" w:rsidRPr="00662CBC">
              <w:lastRenderedPageBreak/>
              <w:t xml:space="preserve">Cooperation is an international, independent </w:t>
            </w:r>
            <w:proofErr w:type="spellStart"/>
            <w:r w:rsidR="00DF7FEE" w:rsidRPr="00662CBC">
              <w:t>organisation</w:t>
            </w:r>
            <w:proofErr w:type="spellEnd"/>
            <w:r w:rsidR="00DF7FEE" w:rsidRPr="00662CBC">
              <w:t xml:space="preserve"> owned by countries of Southeast Europe for promoting dialogue and cooperation </w:t>
            </w:r>
            <w:proofErr w:type="gramStart"/>
            <w:r w:rsidR="00DF7FEE" w:rsidRPr="00662CBC">
              <w:t>in the area of</w:t>
            </w:r>
            <w:proofErr w:type="gramEnd"/>
            <w:r w:rsidR="00DF7FEE" w:rsidRPr="00662CBC">
              <w:t xml:space="preserve"> security. Headquartered in </w:t>
            </w:r>
            <w:proofErr w:type="spellStart"/>
            <w:r w:rsidR="00DF7FEE" w:rsidRPr="00662CBC">
              <w:t>Rakitje</w:t>
            </w:r>
            <w:proofErr w:type="spellEnd"/>
            <w:r w:rsidR="00DF7FEE" w:rsidRPr="00662CBC">
              <w:t xml:space="preserve">, it began operating in 2001 as a multinational regional </w:t>
            </w:r>
            <w:proofErr w:type="spellStart"/>
            <w:proofErr w:type="gramStart"/>
            <w:r w:rsidR="00DF7FEE" w:rsidRPr="00662CBC">
              <w:t>centre</w:t>
            </w:r>
            <w:proofErr w:type="spellEnd"/>
            <w:r w:rsidR="00DF7FEE" w:rsidRPr="00662CBC">
              <w:t xml:space="preserve"> for</w:t>
            </w:r>
            <w:proofErr w:type="gramEnd"/>
            <w:r w:rsidR="00DF7FEE" w:rsidRPr="00662CBC">
              <w:t xml:space="preserve"> </w:t>
            </w:r>
            <w:proofErr w:type="gramStart"/>
            <w:r w:rsidR="00DF7FEE" w:rsidRPr="00662CBC">
              <w:t>providing assistance</w:t>
            </w:r>
            <w:proofErr w:type="gramEnd"/>
            <w:r w:rsidR="00DF7FEE" w:rsidRPr="00662CBC">
              <w:t xml:space="preserve"> in the implementation of the agreement on arms control in Southeast European countries.]</w:t>
            </w:r>
            <w:r w:rsidR="0012070E" w:rsidRPr="00662CBC">
              <w:t xml:space="preserve">. </w:t>
            </w:r>
          </w:p>
          <w:p w14:paraId="7A138998" w14:textId="157C73D6" w:rsidR="0012070E" w:rsidRPr="00662CBC" w:rsidRDefault="0012070E" w:rsidP="0012070E">
            <w:r w:rsidRPr="00662CBC">
              <w:t xml:space="preserve">2.2.4. In the Ministry of </w:t>
            </w:r>
            <w:proofErr w:type="spellStart"/>
            <w:r w:rsidRPr="00662CBC">
              <w:t>Defence</w:t>
            </w:r>
            <w:proofErr w:type="spellEnd"/>
            <w:r w:rsidRPr="00662CBC">
              <w:t xml:space="preserve"> and the Armed Forces the share of women at the end of 2018 amounted to 16.77% of the total number of employees. The share of women in active duty deployed in the MI and the Armed Forces amounts to a total of 12.10% (18.17% officers, 10.86% non-commissioned officers and 9.56% naval officers), while the representation of women as active military personnel in the Armed Forces ranks Croatia among the top of NATO and EU Member States. The percentage of women among civil servants and employees amounts to a respectable 47.13%. The proportion of women who participated in UN, NATO and EU missions and support operations </w:t>
            </w:r>
            <w:r w:rsidRPr="00662CBC">
              <w:lastRenderedPageBreak/>
              <w:t xml:space="preserve">during 2018 </w:t>
            </w:r>
            <w:proofErr w:type="spellStart"/>
            <w:r w:rsidRPr="00662CBC">
              <w:t>equalled</w:t>
            </w:r>
            <w:proofErr w:type="spellEnd"/>
            <w:r w:rsidRPr="00662CBC">
              <w:t xml:space="preserve"> 5.05%, </w:t>
            </w:r>
            <w:proofErr w:type="gramStart"/>
            <w:r w:rsidRPr="00662CBC">
              <w:t>i.e.</w:t>
            </w:r>
            <w:proofErr w:type="gramEnd"/>
            <w:r w:rsidRPr="00662CBC">
              <w:t xml:space="preserve"> 54 women, an increase when compared to 2017, but a decrease from previous years: 4.88% or 36 women in 2017; 7.32% or 31 women in 2016; 6.01% or 21 in 2015. However, if we look at the number of women, not the percentage, we see a steady increase in the number of women deployed to peace-keeping missions and operations. </w:t>
            </w:r>
          </w:p>
          <w:p w14:paraId="06A4BE46" w14:textId="77777777" w:rsidR="00DF7FEE" w:rsidRPr="00662CBC" w:rsidRDefault="0012070E" w:rsidP="0012070E">
            <w:r w:rsidRPr="00662CBC">
              <w:t xml:space="preserve">2.2.5. In the Ministry of the Interior, women currently make up around 30% of the total number of employees, with the number of female police officers being around 18%. As regards social trends and the representation of women in the civil service, the number of female civil servants and employees is almost four times higher than that of female police officers. The share of female civil servants in managerial positions amounts to around 13% while there are around 10% female police officers in managerial positions. Furthermore, female police officers participate </w:t>
            </w:r>
            <w:r w:rsidRPr="00662CBC">
              <w:lastRenderedPageBreak/>
              <w:t xml:space="preserve">in international missions and operations with about 11.5%. </w:t>
            </w:r>
          </w:p>
          <w:p w14:paraId="1F3B3D67" w14:textId="74F86E31" w:rsidR="00140C70" w:rsidRPr="00662CBC" w:rsidRDefault="0012070E" w:rsidP="00702447">
            <w:r w:rsidRPr="00662CBC">
              <w:t>2.2.6. The Security and Intelligence Agency (hereinafter: SOA) and the Office of the National Security Council (hereinafter: UVNS) have made visible progress in terms of equal representation of genders within the security system. Thus, in SOA, 39% of the total number of employees are women, with 25% of women holding higher-ranking and managerial positions. In UVNS 50% of employees are women, while as much as 40% of managerial positions are held by women, including the head of UVNS. The Croatian Mine Action Centre has also worked on increasing the under-represented (female) gender, where at the end of 2017, there were six women holding managerial positions (one head of section/department or 25% and five directors or 45.5%).</w:t>
            </w:r>
            <w:r w:rsidR="00DF7FEE" w:rsidRPr="00662CBC">
              <w:t>”</w:t>
            </w:r>
            <w:r w:rsidR="006767D7" w:rsidRPr="005D2F5A">
              <w:rPr>
                <w:rStyle w:val="FootnoteReference"/>
              </w:rPr>
              <w:footnoteReference w:id="87"/>
            </w:r>
          </w:p>
        </w:tc>
        <w:tc>
          <w:tcPr>
            <w:tcW w:w="949" w:type="pct"/>
            <w:shd w:val="clear" w:color="auto" w:fill="auto"/>
          </w:tcPr>
          <w:p w14:paraId="500A3831" w14:textId="7B814AFF" w:rsidR="000F5CB5" w:rsidRPr="00662CBC" w:rsidRDefault="000F5CB5" w:rsidP="000F5CB5">
            <w:r w:rsidRPr="00662CBC">
              <w:rPr>
                <w:b/>
                <w:bCs/>
              </w:rPr>
              <w:lastRenderedPageBreak/>
              <w:t>No mandatory military service</w:t>
            </w:r>
            <w:r w:rsidR="00C051D4" w:rsidRPr="00662CBC">
              <w:t>:</w:t>
            </w:r>
          </w:p>
          <w:p w14:paraId="1F320F97" w14:textId="568C6BB3" w:rsidR="004116DF" w:rsidRPr="00662CBC" w:rsidRDefault="000F5CB5" w:rsidP="000F5CB5">
            <w:r w:rsidRPr="00662CBC">
              <w:t>“18-27 years of age for voluntary military service; conscription abolished in 2008 (2022)</w:t>
            </w:r>
            <w:r w:rsidRPr="00662CBC">
              <w:br/>
            </w:r>
            <w:r w:rsidRPr="00662CBC">
              <w:rPr>
                <w:b/>
                <w:bCs/>
              </w:rPr>
              <w:t>note:</w:t>
            </w:r>
            <w:r w:rsidRPr="00662CBC">
              <w:t> as of 2021, women comprised nearly 15% of the military's full-time personnel”</w:t>
            </w:r>
            <w:r w:rsidR="004116DF" w:rsidRPr="005D2F5A">
              <w:rPr>
                <w:rStyle w:val="FootnoteReference"/>
              </w:rPr>
              <w:footnoteReference w:id="88"/>
            </w:r>
          </w:p>
        </w:tc>
        <w:tc>
          <w:tcPr>
            <w:tcW w:w="677" w:type="pct"/>
            <w:shd w:val="clear" w:color="auto" w:fill="auto"/>
          </w:tcPr>
          <w:p w14:paraId="7BF45768" w14:textId="43EC2453" w:rsidR="00B76F41" w:rsidRPr="00662CBC" w:rsidRDefault="00000000" w:rsidP="00A47701">
            <w:hyperlink r:id="rId28" w:history="1">
              <w:r w:rsidR="00B76F41" w:rsidRPr="00215DAA">
                <w:rPr>
                  <w:rStyle w:val="Hyperlink"/>
                  <w:b/>
                  <w:bCs/>
                </w:rPr>
                <w:t>NAP 2011-2014</w:t>
              </w:r>
              <w:r w:rsidR="00B76F41" w:rsidRPr="00215DAA">
                <w:rPr>
                  <w:rStyle w:val="Hyperlink"/>
                </w:rPr>
                <w:t xml:space="preserve"> (2011)</w:t>
              </w:r>
            </w:hyperlink>
          </w:p>
          <w:p w14:paraId="59F49576" w14:textId="4609FFC3" w:rsidR="00B76F41" w:rsidRPr="00662CBC" w:rsidRDefault="00000000" w:rsidP="00A47701">
            <w:hyperlink r:id="rId29" w:history="1">
              <w:r w:rsidR="00B76F41" w:rsidRPr="00507D00">
                <w:rPr>
                  <w:rStyle w:val="Hyperlink"/>
                  <w:b/>
                  <w:bCs/>
                </w:rPr>
                <w:t>NAP</w:t>
              </w:r>
              <w:r w:rsidR="00641EBC">
                <w:rPr>
                  <w:rStyle w:val="Hyperlink"/>
                  <w:b/>
                  <w:bCs/>
                </w:rPr>
                <w:t xml:space="preserve"> </w:t>
              </w:r>
              <w:r w:rsidR="00B76F41" w:rsidRPr="00507D00">
                <w:rPr>
                  <w:rStyle w:val="Hyperlink"/>
                  <w:b/>
                  <w:bCs/>
                </w:rPr>
                <w:t>2019-2023</w:t>
              </w:r>
              <w:r w:rsidR="00641EBC">
                <w:rPr>
                  <w:rStyle w:val="Hyperlink"/>
                  <w:b/>
                  <w:bCs/>
                </w:rPr>
                <w:t xml:space="preserve"> </w:t>
              </w:r>
              <w:r w:rsidR="00B76F41" w:rsidRPr="00507D00">
                <w:rPr>
                  <w:rStyle w:val="Hyperlink"/>
                </w:rPr>
                <w:t>(2019)</w:t>
              </w:r>
            </w:hyperlink>
            <w:r w:rsidR="000C4A79" w:rsidRPr="00662CBC">
              <w:t xml:space="preserve"> aims at ensuring more participation but with no </w:t>
            </w:r>
            <w:r w:rsidR="007B24B2">
              <w:t>precise</w:t>
            </w:r>
            <w:r w:rsidR="000C4A79" w:rsidRPr="00662CBC">
              <w:t xml:space="preserve"> deadline nor </w:t>
            </w:r>
            <w:r w:rsidR="00851A12" w:rsidRPr="00662CBC">
              <w:t>quota</w:t>
            </w:r>
            <w:r w:rsidR="00435A57" w:rsidRPr="00662CBC">
              <w:t>.</w:t>
            </w:r>
          </w:p>
          <w:p w14:paraId="3EAF5962" w14:textId="00366156" w:rsidR="004116DF" w:rsidRPr="00662CBC" w:rsidRDefault="004116DF" w:rsidP="00A47701"/>
        </w:tc>
      </w:tr>
      <w:tr w:rsidR="005A7203" w:rsidRPr="00662CBC" w14:paraId="40E92124" w14:textId="77777777" w:rsidTr="00F37D6B">
        <w:tc>
          <w:tcPr>
            <w:tcW w:w="139" w:type="pct"/>
            <w:shd w:val="clear" w:color="auto" w:fill="auto"/>
          </w:tcPr>
          <w:p w14:paraId="1ADCA8FF"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1E4C0393" w14:textId="77777777" w:rsidR="004116DF" w:rsidRPr="00662CBC" w:rsidRDefault="004116DF" w:rsidP="006064D6">
            <w:pPr>
              <w:pStyle w:val="Heading3"/>
            </w:pPr>
            <w:bookmarkStart w:id="15" w:name="_Toc132806699"/>
            <w:r w:rsidRPr="00662CBC">
              <w:t>Cyprus</w:t>
            </w:r>
            <w:bookmarkEnd w:id="15"/>
            <w:r w:rsidRPr="00662CBC">
              <w:t xml:space="preserve"> </w:t>
            </w:r>
          </w:p>
          <w:p w14:paraId="6531D612" w14:textId="77777777" w:rsidR="004116DF" w:rsidRPr="00662CBC" w:rsidRDefault="004116DF" w:rsidP="006064D6">
            <w:pPr>
              <w:rPr>
                <w:b/>
                <w:bCs/>
                <w:szCs w:val="20"/>
              </w:rPr>
            </w:pPr>
          </w:p>
        </w:tc>
        <w:tc>
          <w:tcPr>
            <w:tcW w:w="855" w:type="pct"/>
            <w:shd w:val="clear" w:color="auto" w:fill="auto"/>
          </w:tcPr>
          <w:p w14:paraId="0F9BF932" w14:textId="12AD2C41" w:rsidR="004116DF" w:rsidRPr="00662CBC" w:rsidRDefault="004116DF" w:rsidP="00714158">
            <w:r w:rsidRPr="00662CBC">
              <w:t>s. NDC submitted by EU</w:t>
            </w:r>
          </w:p>
        </w:tc>
        <w:tc>
          <w:tcPr>
            <w:tcW w:w="1023" w:type="pct"/>
            <w:shd w:val="clear" w:color="auto" w:fill="auto"/>
          </w:tcPr>
          <w:p w14:paraId="150C1449" w14:textId="023DA4E9" w:rsidR="00F13AD5" w:rsidRPr="00662CBC" w:rsidRDefault="007B692B" w:rsidP="00F13AD5">
            <w:r w:rsidRPr="00662CBC">
              <w:t>—</w:t>
            </w:r>
          </w:p>
          <w:p w14:paraId="5B6D6C5E" w14:textId="025D4AF8" w:rsidR="009743E0" w:rsidRPr="00662CBC" w:rsidRDefault="003D0700" w:rsidP="003D0700">
            <w:r w:rsidRPr="00662CBC">
              <w:lastRenderedPageBreak/>
              <w:t>The</w:t>
            </w:r>
            <w:r w:rsidRPr="00662CBC">
              <w:rPr>
                <w:b/>
                <w:bCs/>
                <w:u w:val="single"/>
              </w:rPr>
              <w:t xml:space="preserve"> Equal Treatment of men and women in employment and vocational training Law,</w:t>
            </w:r>
            <w:r w:rsidRPr="00662CBC">
              <w:t xml:space="preserve"> No. 205(I)/2002</w:t>
            </w:r>
            <w:r w:rsidR="009A3434" w:rsidRPr="00662CBC">
              <w:t xml:space="preserve"> allows for positive action</w:t>
            </w:r>
            <w:r w:rsidR="00023C3C" w:rsidRPr="00662CBC">
              <w:t xml:space="preserve"> including for </w:t>
            </w:r>
            <w:r w:rsidR="00E84E9C" w:rsidRPr="00662CBC">
              <w:t>“conditions and criteria for placement, permanence, inclusion, transfer, transfer, secondment or promotion.”</w:t>
            </w:r>
            <w:r w:rsidR="003F492D" w:rsidRPr="00662CBC">
              <w:t xml:space="preserve"> (</w:t>
            </w:r>
            <w:r w:rsidR="00156C70">
              <w:t>a</w:t>
            </w:r>
            <w:r w:rsidR="003F492D" w:rsidRPr="00662CBC">
              <w:t>rt.</w:t>
            </w:r>
            <w:r w:rsidR="00E84E9C" w:rsidRPr="00662CBC">
              <w:t>8</w:t>
            </w:r>
            <w:r w:rsidR="003F492D" w:rsidRPr="00662CBC">
              <w:t>)</w:t>
            </w:r>
            <w:r w:rsidR="00E84E9C" w:rsidRPr="00662CBC">
              <w:t>.</w:t>
            </w:r>
            <w:r w:rsidR="009743E0" w:rsidRPr="00662CBC">
              <w:rPr>
                <w:rStyle w:val="FootnoteReference"/>
              </w:rPr>
              <w:t xml:space="preserve"> </w:t>
            </w:r>
            <w:r w:rsidR="009743E0" w:rsidRPr="005D2F5A">
              <w:rPr>
                <w:rStyle w:val="FootnoteReference"/>
              </w:rPr>
              <w:footnoteReference w:id="89"/>
            </w:r>
          </w:p>
          <w:p w14:paraId="3B3B9B96" w14:textId="77777777" w:rsidR="00350750" w:rsidRPr="00662CBC" w:rsidRDefault="009743E0" w:rsidP="00350750">
            <w:pPr>
              <w:jc w:val="left"/>
            </w:pPr>
            <w:r w:rsidRPr="00662CBC">
              <w:rPr>
                <w:b/>
                <w:bCs/>
              </w:rPr>
              <w:t xml:space="preserve">“Art. 34 </w:t>
            </w:r>
            <w:r w:rsidRPr="00662CBC">
              <w:rPr>
                <w:b/>
                <w:bCs/>
              </w:rPr>
              <w:br/>
            </w:r>
            <w:r w:rsidRPr="00662CBC">
              <w:t xml:space="preserve">(1) For the better application of the provisions of this Law, the Council of Ministers may issue Regulations. </w:t>
            </w:r>
            <w:r w:rsidRPr="00662CBC">
              <w:br/>
              <w:t>(2) […]  the Regulations issued by the Council of Ministers may contain provisions concerning the more specific conditions, the scope, the manner and time of implementation and the duration of positive action measures in favor of underrepresented sex, as well as the competent bodies for this purpose, with regard to the matters regulated by articles 7 and 8 of this Law.”</w:t>
            </w:r>
            <w:r w:rsidR="003F492D" w:rsidRPr="00662CBC">
              <w:t>.</w:t>
            </w:r>
            <w:r w:rsidRPr="005D2F5A">
              <w:rPr>
                <w:rStyle w:val="FootnoteReference"/>
              </w:rPr>
              <w:footnoteReference w:id="90"/>
            </w:r>
          </w:p>
          <w:p w14:paraId="73E777EF" w14:textId="392D94F7" w:rsidR="009A3434" w:rsidRPr="00662CBC" w:rsidRDefault="00D54EAD" w:rsidP="00350750">
            <w:r w:rsidRPr="00D54EAD">
              <w:rPr>
                <w:b/>
                <w:bCs/>
              </w:rPr>
              <w:lastRenderedPageBreak/>
              <w:t xml:space="preserve">No </w:t>
            </w:r>
            <w:r>
              <w:rPr>
                <w:b/>
                <w:bCs/>
              </w:rPr>
              <w:t>obligation to implement affirmative action provisions</w:t>
            </w:r>
            <w:r w:rsidR="009A3434" w:rsidRPr="00662CBC">
              <w:t>:</w:t>
            </w:r>
            <w:r w:rsidR="00350750" w:rsidRPr="00662CBC">
              <w:br/>
            </w:r>
            <w:r w:rsidR="009A3434" w:rsidRPr="00662CBC">
              <w:t xml:space="preserve">“3.6.3 Specific difficulties </w:t>
            </w:r>
            <w:r w:rsidR="009A3434" w:rsidRPr="00662CBC">
              <w:br/>
              <w:t>There is no obligation to develop any positive action measures in the field of gender equality, but only the possibility to justify such measures as exceptions to the equality principle. To date, no specific positive action measures to promote gender equality in employment, or any other field, have been developed by any public or private law entity in Cyprus.”</w:t>
            </w:r>
          </w:p>
          <w:p w14:paraId="11EC369E" w14:textId="77777777" w:rsidR="003D0700" w:rsidRPr="00662CBC" w:rsidRDefault="003D0700" w:rsidP="00F13AD5"/>
          <w:p w14:paraId="2D2B9D6A" w14:textId="24791FD0" w:rsidR="00F13AD5" w:rsidRPr="00662CBC" w:rsidRDefault="00D54EAD" w:rsidP="00954786">
            <w:r>
              <w:rPr>
                <w:b/>
                <w:bCs/>
              </w:rPr>
              <w:t xml:space="preserve">Note 2: Current make-up – per </w:t>
            </w:r>
            <w:r w:rsidR="00954786" w:rsidRPr="00662CBC">
              <w:rPr>
                <w:b/>
                <w:bCs/>
              </w:rPr>
              <w:t>NAP 2021-2025</w:t>
            </w:r>
            <w:r w:rsidR="00954786" w:rsidRPr="00662CBC">
              <w:t xml:space="preserve">: </w:t>
            </w:r>
            <w:r w:rsidR="00F13AD5" w:rsidRPr="00662CBC">
              <w:t>“As regards the qualitative indicators concerning the representation of women in senior managerial levels, women make up 30% of Diplomatic Service of the Republic of Cyprus with seven (7) women serving as Chiefs Missions and eleven (11) to occupy important managerial positions within of the Central Service.”</w:t>
            </w:r>
            <w:r w:rsidR="00954786" w:rsidRPr="00662CBC">
              <w:t xml:space="preserve"> (</w:t>
            </w:r>
            <w:proofErr w:type="gramStart"/>
            <w:r w:rsidR="00954786" w:rsidRPr="00662CBC">
              <w:t>translated</w:t>
            </w:r>
            <w:proofErr w:type="gramEnd"/>
            <w:r w:rsidR="00954786" w:rsidRPr="00662CBC">
              <w:t xml:space="preserve"> through </w:t>
            </w:r>
            <w:r w:rsidR="00954786" w:rsidRPr="00662CBC">
              <w:rPr>
                <w:i/>
                <w:iCs/>
              </w:rPr>
              <w:t>Google Translate</w:t>
            </w:r>
            <w:r w:rsidR="00954786" w:rsidRPr="00662CBC">
              <w:t>)</w:t>
            </w:r>
            <w:r w:rsidR="00123478" w:rsidRPr="005D2F5A">
              <w:rPr>
                <w:rStyle w:val="FootnoteReference"/>
              </w:rPr>
              <w:footnoteReference w:id="91"/>
            </w:r>
          </w:p>
        </w:tc>
        <w:tc>
          <w:tcPr>
            <w:tcW w:w="903" w:type="pct"/>
            <w:shd w:val="clear" w:color="auto" w:fill="auto"/>
          </w:tcPr>
          <w:p w14:paraId="1F3C7A5F" w14:textId="3BCFE064" w:rsidR="00341BD4" w:rsidRPr="00662CBC" w:rsidRDefault="00E67648" w:rsidP="00E67648">
            <w:r w:rsidRPr="00662CBC">
              <w:lastRenderedPageBreak/>
              <w:t>—</w:t>
            </w:r>
          </w:p>
          <w:p w14:paraId="30E03798" w14:textId="05B195ED" w:rsidR="0032571C" w:rsidRPr="00662CBC" w:rsidRDefault="0032571C" w:rsidP="0032571C">
            <w:r w:rsidRPr="00662CBC">
              <w:lastRenderedPageBreak/>
              <w:t>Law, No. 205(I)/2002 does not apply to Security Forces</w:t>
            </w:r>
            <w:r w:rsidRPr="005D2F5A">
              <w:rPr>
                <w:rStyle w:val="FootnoteReference"/>
              </w:rPr>
              <w:footnoteReference w:id="92"/>
            </w:r>
          </w:p>
          <w:p w14:paraId="6FF2DEC1" w14:textId="171683F5" w:rsidR="00341BD4" w:rsidRPr="00662CBC" w:rsidRDefault="007568F5" w:rsidP="00341BD4">
            <w:pPr>
              <w:rPr>
                <w:b/>
                <w:bCs/>
              </w:rPr>
            </w:pPr>
            <w:r w:rsidRPr="007568F5">
              <w:rPr>
                <w:b/>
                <w:bCs/>
              </w:rPr>
              <w:t>Note</w:t>
            </w:r>
            <w:r>
              <w:rPr>
                <w:b/>
                <w:bCs/>
              </w:rPr>
              <w:t>:</w:t>
            </w:r>
            <w:r w:rsidR="00341BD4" w:rsidRPr="00662CBC">
              <w:t xml:space="preserve"> </w:t>
            </w:r>
            <w:r w:rsidR="00FD2EFB" w:rsidRPr="00662CBC">
              <w:t xml:space="preserve">“3.4.4. </w:t>
            </w:r>
            <w:r w:rsidR="00341BD4" w:rsidRPr="00662CBC">
              <w:rPr>
                <w:b/>
                <w:bCs/>
              </w:rPr>
              <w:t>Specific di</w:t>
            </w:r>
            <w:r w:rsidR="00FD2EFB" w:rsidRPr="00662CBC">
              <w:rPr>
                <w:b/>
                <w:bCs/>
              </w:rPr>
              <w:t>fficulties</w:t>
            </w:r>
          </w:p>
          <w:p w14:paraId="6DE8E2FB" w14:textId="77777777" w:rsidR="00FD2EFB" w:rsidRPr="00662CBC" w:rsidRDefault="00FD2EFB" w:rsidP="00341BD4">
            <w:r w:rsidRPr="00662CBC">
              <w:t>[…] </w:t>
            </w:r>
          </w:p>
          <w:p w14:paraId="7D42A859" w14:textId="04BB3E55" w:rsidR="00FD2EFB" w:rsidRPr="00662CBC" w:rsidRDefault="00FD2EFB" w:rsidP="00341BD4">
            <w:r w:rsidRPr="00662CBC">
              <w:t xml:space="preserve">In </w:t>
            </w:r>
            <w:proofErr w:type="spellStart"/>
            <w:r w:rsidRPr="00662CBC">
              <w:rPr>
                <w:i/>
                <w:iCs/>
              </w:rPr>
              <w:t>Elenis</w:t>
            </w:r>
            <w:proofErr w:type="spellEnd"/>
            <w:r w:rsidRPr="00662CBC">
              <w:rPr>
                <w:i/>
                <w:iCs/>
              </w:rPr>
              <w:t xml:space="preserve"> </w:t>
            </w:r>
            <w:proofErr w:type="spellStart"/>
            <w:r w:rsidRPr="00662CBC">
              <w:rPr>
                <w:i/>
                <w:iCs/>
              </w:rPr>
              <w:t>Xenofontos</w:t>
            </w:r>
            <w:proofErr w:type="spellEnd"/>
            <w:r w:rsidRPr="00662CBC">
              <w:rPr>
                <w:i/>
                <w:iCs/>
              </w:rPr>
              <w:t xml:space="preserve"> v the Republic</w:t>
            </w:r>
            <w:r w:rsidRPr="00662CBC">
              <w:t xml:space="preserve">, the Ministry of </w:t>
            </w:r>
            <w:proofErr w:type="spellStart"/>
            <w:r w:rsidRPr="00662CBC">
              <w:t>Defence</w:t>
            </w:r>
            <w:proofErr w:type="spellEnd"/>
            <w:r w:rsidRPr="00662CBC">
              <w:t xml:space="preserve"> and others the claimant alleged that the promotion criteria in the armed forces were discriminatory against female officers. However, the industrial tribunal held that it was not competent to examine the substance of the claim as it was an issue within the jurisdiction of the administrative court; the claimant waited four years for the decision.”</w:t>
            </w:r>
            <w:r w:rsidR="00BD57F8" w:rsidRPr="005D2F5A">
              <w:rPr>
                <w:rStyle w:val="FootnoteReference"/>
              </w:rPr>
              <w:footnoteReference w:id="93"/>
            </w:r>
          </w:p>
        </w:tc>
        <w:tc>
          <w:tcPr>
            <w:tcW w:w="949" w:type="pct"/>
            <w:shd w:val="clear" w:color="auto" w:fill="auto"/>
          </w:tcPr>
          <w:p w14:paraId="74BDA7B1" w14:textId="51AC47FD" w:rsidR="00711159" w:rsidRPr="00662CBC" w:rsidRDefault="00711159" w:rsidP="00DB5430">
            <w:r w:rsidRPr="00662CBC">
              <w:rPr>
                <w:b/>
                <w:bCs/>
              </w:rPr>
              <w:lastRenderedPageBreak/>
              <w:t>Compulsory service for men</w:t>
            </w:r>
            <w:r w:rsidRPr="00662CBC">
              <w:t xml:space="preserve"> </w:t>
            </w:r>
          </w:p>
          <w:p w14:paraId="32E15BBF" w14:textId="378ABE5A" w:rsidR="004116DF" w:rsidRPr="00662CBC" w:rsidRDefault="00711159" w:rsidP="00DB5430">
            <w:r w:rsidRPr="00662CBC">
              <w:lastRenderedPageBreak/>
              <w:t xml:space="preserve">“Cypriot National Guard (CNG): 18-50 years of age for compulsory military service for all Greek Cypriot males; 17 years of age for voluntary service; 14-month service obligation (2022) </w:t>
            </w:r>
            <w:r w:rsidRPr="00662CBC">
              <w:br/>
            </w:r>
            <w:r w:rsidRPr="00662CBC">
              <w:rPr>
                <w:b/>
                <w:bCs/>
              </w:rPr>
              <w:t>note</w:t>
            </w:r>
            <w:r w:rsidRPr="00662CBC">
              <w:t>: the CNG accepts all foreign nationals of at least partial Cypriot descent under age 32 as volunteers; dual citizenship Cypriot origin citizens, who were born in Cyprus or abroad, have the obligation to serve in the CNG on repatriation, regardless of whether or not they possess a foreign citizenship; a person is considered as having Cypriot origin where a grandparent or parent was/is a Cypriot citizen”</w:t>
            </w:r>
            <w:r w:rsidR="004116DF" w:rsidRPr="005D2F5A">
              <w:rPr>
                <w:rStyle w:val="FootnoteReference"/>
              </w:rPr>
              <w:footnoteReference w:id="94"/>
            </w:r>
            <w:r w:rsidRPr="00662CBC">
              <w:t>“</w:t>
            </w:r>
          </w:p>
        </w:tc>
        <w:tc>
          <w:tcPr>
            <w:tcW w:w="677" w:type="pct"/>
            <w:shd w:val="clear" w:color="auto" w:fill="auto"/>
          </w:tcPr>
          <w:p w14:paraId="296791EC" w14:textId="77777777" w:rsidR="004116DF" w:rsidRPr="00662CBC" w:rsidRDefault="008802B7" w:rsidP="00DB5430">
            <w:r w:rsidRPr="00662CBC">
              <w:rPr>
                <w:b/>
                <w:bCs/>
              </w:rPr>
              <w:lastRenderedPageBreak/>
              <w:t xml:space="preserve">NAP 2021-2025 </w:t>
            </w:r>
            <w:r w:rsidRPr="00662CBC">
              <w:t>(2020)</w:t>
            </w:r>
          </w:p>
          <w:p w14:paraId="01414B0F" w14:textId="4B315E75" w:rsidR="00123478" w:rsidRPr="00662CBC" w:rsidRDefault="00123478" w:rsidP="00123478">
            <w:r w:rsidRPr="00662CBC">
              <w:lastRenderedPageBreak/>
              <w:t xml:space="preserve">Only available in </w:t>
            </w:r>
            <w:hyperlink r:id="rId30" w:history="1">
              <w:r w:rsidRPr="00334DC9">
                <w:rPr>
                  <w:rStyle w:val="Hyperlink"/>
                </w:rPr>
                <w:t>Greek</w:t>
              </w:r>
            </w:hyperlink>
            <w:r w:rsidRPr="00662CBC">
              <w:t xml:space="preserve"> </w:t>
            </w:r>
          </w:p>
        </w:tc>
      </w:tr>
      <w:tr w:rsidR="005A7203" w:rsidRPr="00662CBC" w14:paraId="3D9F3128" w14:textId="77777777" w:rsidTr="00F37D6B">
        <w:tc>
          <w:tcPr>
            <w:tcW w:w="139" w:type="pct"/>
            <w:shd w:val="clear" w:color="auto" w:fill="auto"/>
          </w:tcPr>
          <w:p w14:paraId="4AA93FBD"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59FF1CE9" w14:textId="77777777" w:rsidR="004116DF" w:rsidRPr="00662CBC" w:rsidRDefault="004116DF" w:rsidP="006064D6">
            <w:pPr>
              <w:pStyle w:val="Heading3"/>
            </w:pPr>
            <w:bookmarkStart w:id="16" w:name="_Toc132806700"/>
            <w:r w:rsidRPr="00662CBC">
              <w:t>Czechia</w:t>
            </w:r>
            <w:bookmarkEnd w:id="16"/>
          </w:p>
          <w:p w14:paraId="2B04FC06" w14:textId="77777777" w:rsidR="004116DF" w:rsidRPr="00662CBC" w:rsidRDefault="004116DF" w:rsidP="006064D6">
            <w:pPr>
              <w:rPr>
                <w:szCs w:val="20"/>
              </w:rPr>
            </w:pPr>
          </w:p>
        </w:tc>
        <w:tc>
          <w:tcPr>
            <w:tcW w:w="855" w:type="pct"/>
            <w:shd w:val="clear" w:color="auto" w:fill="auto"/>
          </w:tcPr>
          <w:p w14:paraId="52BDE396" w14:textId="2C5B63B7" w:rsidR="004116DF" w:rsidRPr="00662CBC" w:rsidRDefault="004116DF" w:rsidP="00714158">
            <w:r w:rsidRPr="00662CBC">
              <w:t>s. NDC submitted by EU</w:t>
            </w:r>
          </w:p>
        </w:tc>
        <w:tc>
          <w:tcPr>
            <w:tcW w:w="1023" w:type="pct"/>
            <w:shd w:val="clear" w:color="auto" w:fill="auto"/>
          </w:tcPr>
          <w:p w14:paraId="0263F637" w14:textId="218170AE" w:rsidR="004116DF" w:rsidRPr="00662CBC" w:rsidRDefault="00A214E8" w:rsidP="00A214E8">
            <w:pPr>
              <w:rPr>
                <w:b/>
                <w:bCs/>
              </w:rPr>
            </w:pPr>
            <w:r w:rsidRPr="00662CBC">
              <w:rPr>
                <w:b/>
                <w:bCs/>
              </w:rPr>
              <w:t xml:space="preserve">No </w:t>
            </w:r>
            <w:r w:rsidR="000D470C" w:rsidRPr="00662CBC">
              <w:rPr>
                <w:b/>
                <w:bCs/>
              </w:rPr>
              <w:t xml:space="preserve">affirmative action </w:t>
            </w:r>
            <w:r w:rsidR="008F2419" w:rsidRPr="005D2F5A">
              <w:rPr>
                <w:rStyle w:val="FootnoteReference"/>
              </w:rPr>
              <w:footnoteReference w:id="95"/>
            </w:r>
          </w:p>
          <w:p w14:paraId="2848631B" w14:textId="77777777" w:rsidR="00EB2FC9" w:rsidRPr="00662CBC" w:rsidRDefault="00EB2FC9" w:rsidP="00A214E8">
            <w:r w:rsidRPr="00662CBC">
              <w:t>No</w:t>
            </w:r>
            <w:r w:rsidR="00D06990" w:rsidRPr="00662CBC">
              <w:t>ne</w:t>
            </w:r>
            <w:r w:rsidRPr="00662CBC">
              <w:t xml:space="preserve"> mention</w:t>
            </w:r>
            <w:r w:rsidR="00D06990" w:rsidRPr="00662CBC">
              <w:t>ed</w:t>
            </w:r>
            <w:r w:rsidRPr="00662CBC">
              <w:t xml:space="preserve"> in the: </w:t>
            </w:r>
            <w:hyperlink r:id="rId31" w:history="1">
              <w:r w:rsidRPr="00662CBC">
                <w:rPr>
                  <w:rStyle w:val="Hyperlink"/>
                </w:rPr>
                <w:t>218 Act of April 26, 2002 on service of public servants in administrative authorities and on remuneration of such servants and other employees in administrative authorities (the Service Act)</w:t>
              </w:r>
            </w:hyperlink>
          </w:p>
          <w:p w14:paraId="3BE6DD59" w14:textId="77777777" w:rsidR="004A7ACA" w:rsidRPr="00662CBC" w:rsidRDefault="008F3D72" w:rsidP="00A214E8">
            <w:r w:rsidRPr="00662CBC">
              <w:t>See also: “"</w:t>
            </w:r>
            <w:r w:rsidR="004A7ACA" w:rsidRPr="00662CBC">
              <w:t xml:space="preserve">4.3.7 Positive action measures (Article 3 of Recast Directive 2006/54) </w:t>
            </w:r>
          </w:p>
          <w:p w14:paraId="339C193A" w14:textId="77777777" w:rsidR="004A7ACA" w:rsidRPr="00662CBC" w:rsidRDefault="004A7ACA" w:rsidP="00A214E8">
            <w:r w:rsidRPr="00662CBC">
              <w:t xml:space="preserve">Positive action is allowed through Section 7, Paragraphs 2 and 3 of the Anti-Discrimination Act. The above-mentioned provision states: </w:t>
            </w:r>
          </w:p>
          <w:p w14:paraId="2A25A41B" w14:textId="77777777" w:rsidR="000D241F" w:rsidRPr="00662CBC" w:rsidRDefault="004A7ACA" w:rsidP="000D241F">
            <w:pPr>
              <w:ind w:left="316" w:right="319"/>
            </w:pPr>
            <w:r w:rsidRPr="00662CBC">
              <w:t xml:space="preserve">‘(2) Measures aimed at preventing or compensating for disadvantages resulting from a person’s membership of a group of persons defined by any of the grounds specified in Section 2 (3) and ensuring </w:t>
            </w:r>
            <w:r w:rsidRPr="00662CBC">
              <w:lastRenderedPageBreak/>
              <w:t xml:space="preserve">equal treatment and equal opportunities for that person shall not be considered to be discrimination. (3) In matters of access to employment or an occupation, the measures under paragraph 2 above may not result in the </w:t>
            </w:r>
            <w:proofErr w:type="spellStart"/>
            <w:r w:rsidRPr="00662CBC">
              <w:t>favouring</w:t>
            </w:r>
            <w:proofErr w:type="spellEnd"/>
            <w:r w:rsidRPr="00662CBC">
              <w:t xml:space="preserve"> of a person whose qualities for the performance of employment or an occupation are not higher than those of other persons assessed at the same time.’</w:t>
            </w:r>
          </w:p>
          <w:p w14:paraId="3B9500C0" w14:textId="77777777" w:rsidR="00D06990" w:rsidRDefault="004A7ACA" w:rsidP="00A214E8">
            <w:r w:rsidRPr="00662CBC">
              <w:t>In fact, no significant positive action measures can be reported. The legislative provision on positive measures only exists on paper.</w:t>
            </w:r>
            <w:r w:rsidR="00EE7742" w:rsidRPr="00662CBC">
              <w:t>”</w:t>
            </w:r>
            <w:r w:rsidR="009902DA" w:rsidRPr="005D2F5A">
              <w:rPr>
                <w:rStyle w:val="FootnoteReference"/>
              </w:rPr>
              <w:footnoteReference w:id="96"/>
            </w:r>
          </w:p>
          <w:p w14:paraId="6EC541F1" w14:textId="77777777" w:rsidR="00EE3185" w:rsidRDefault="00EE3185" w:rsidP="00A214E8"/>
          <w:p w14:paraId="207F9FEE" w14:textId="77777777" w:rsidR="00EE3185" w:rsidRDefault="00EE3185" w:rsidP="00EE3185">
            <w:r w:rsidRPr="009043EC">
              <w:rPr>
                <w:b/>
                <w:bCs/>
              </w:rPr>
              <w:t>Concluding Observations</w:t>
            </w:r>
            <w:r>
              <w:rPr>
                <w:b/>
                <w:bCs/>
              </w:rPr>
              <w:t xml:space="preserve"> </w:t>
            </w:r>
            <w:r>
              <w:t>(2016):</w:t>
            </w:r>
          </w:p>
          <w:p w14:paraId="71209D65" w14:textId="5B273E28" w:rsidR="00EE3185" w:rsidRPr="00662CBC" w:rsidRDefault="00EE3185" w:rsidP="00EE3185">
            <w:r w:rsidRPr="001E18D0">
              <w:rPr>
                <w:b/>
                <w:bCs/>
              </w:rPr>
              <w:t>“Participation in political and public life</w:t>
            </w:r>
            <w:r w:rsidRPr="001E18D0">
              <w:t xml:space="preserve"> </w:t>
            </w:r>
            <w:r>
              <w:br/>
            </w:r>
            <w:r w:rsidRPr="001E18D0">
              <w:t>22. The Committee notes the high rate of female representation in the judiciary of the State party, but is concerned:</w:t>
            </w:r>
            <w:r>
              <w:br/>
              <w:t>[…] </w:t>
            </w:r>
            <w:r w:rsidRPr="001E18D0">
              <w:t xml:space="preserve">(b) That women, in particular Roma women, continue to be significantly underrepresented at all levels </w:t>
            </w:r>
            <w:r w:rsidRPr="001E18D0">
              <w:lastRenderedPageBreak/>
              <w:t>of decision-making, including in both chambers of Parliament, regional and local assemblies, the Government, especially at the ministerial and vice-ministerial levels, in mayoral and ambassadorial posts and in senior positions in the foreign service, as well as in senior positions in companies owned or controlled by the State party.</w:t>
            </w:r>
            <w:r>
              <w:t>”</w:t>
            </w:r>
            <w:r>
              <w:rPr>
                <w:rStyle w:val="FootnoteReference"/>
              </w:rPr>
              <w:footnoteReference w:id="97"/>
            </w:r>
            <w:r>
              <w:br/>
            </w:r>
          </w:p>
        </w:tc>
        <w:tc>
          <w:tcPr>
            <w:tcW w:w="903" w:type="pct"/>
            <w:shd w:val="clear" w:color="auto" w:fill="auto"/>
          </w:tcPr>
          <w:p w14:paraId="2EC96954" w14:textId="6F9A6294" w:rsidR="000D470C" w:rsidRPr="00662CBC" w:rsidRDefault="000D470C" w:rsidP="000D470C">
            <w:pPr>
              <w:rPr>
                <w:b/>
                <w:bCs/>
              </w:rPr>
            </w:pPr>
            <w:r w:rsidRPr="00662CBC">
              <w:rPr>
                <w:b/>
                <w:bCs/>
              </w:rPr>
              <w:lastRenderedPageBreak/>
              <w:t xml:space="preserve">No affirmative action </w:t>
            </w:r>
            <w:r w:rsidRPr="005D2F5A">
              <w:rPr>
                <w:rStyle w:val="FootnoteReference"/>
              </w:rPr>
              <w:footnoteReference w:id="98"/>
            </w:r>
          </w:p>
          <w:p w14:paraId="5AFE3A33" w14:textId="5B006C17" w:rsidR="004116DF" w:rsidRPr="00662CBC" w:rsidRDefault="00F24028" w:rsidP="00A00FDC">
            <w:r w:rsidRPr="00B954F9">
              <w:rPr>
                <w:rStyle w:val="FootnoteReference"/>
                <w:vertAlign w:val="baseline"/>
              </w:rPr>
              <w:t>“The Czech Armed Forces (CAF) do not have a quota system for women and men.</w:t>
            </w:r>
            <w:r w:rsidRPr="00B954F9">
              <w:t>”</w:t>
            </w:r>
            <w:r>
              <w:rPr>
                <w:rStyle w:val="FootnoteReference"/>
              </w:rPr>
              <w:footnoteReference w:id="99"/>
            </w:r>
          </w:p>
          <w:p w14:paraId="5199CD4C" w14:textId="54A0F854" w:rsidR="00B954F9" w:rsidRPr="000164C9" w:rsidRDefault="00B954F9" w:rsidP="00B954F9">
            <w:pPr>
              <w:rPr>
                <w:b/>
                <w:bCs/>
              </w:rPr>
            </w:pPr>
            <w:r>
              <w:rPr>
                <w:b/>
                <w:bCs/>
              </w:rPr>
              <w:t>Note 1</w:t>
            </w:r>
            <w:r w:rsidRPr="00C50216">
              <w:t xml:space="preserve">: </w:t>
            </w:r>
            <w:r>
              <w:rPr>
                <w:b/>
                <w:bCs/>
              </w:rPr>
              <w:t>Suitable facilities and uniforms for both sexes. Not military equipment.</w:t>
            </w:r>
          </w:p>
          <w:p w14:paraId="1465C5BD" w14:textId="77777777" w:rsidR="00B954F9" w:rsidRDefault="00B954F9" w:rsidP="00B954F9">
            <w:r>
              <w:t>“</w:t>
            </w:r>
            <w:r w:rsidRPr="000164C9">
              <w:t>Military equipment is not adapted for men and women. Military facilities are adjusted according to common standards: separate toilets, dressing rooms and tents during military exercises. Uniforms are adapted for both men and women and combat uniforms are the same for both, but optional sizes are available for selection. The service uniforms allow women to wear skirts, a different head cover, and coats.</w:t>
            </w:r>
            <w:r>
              <w:t>”</w:t>
            </w:r>
            <w:r w:rsidRPr="000164C9">
              <w:rPr>
                <w:rStyle w:val="FootnoteReference"/>
              </w:rPr>
              <w:t xml:space="preserve"> </w:t>
            </w:r>
            <w:r>
              <w:rPr>
                <w:rStyle w:val="FootnoteReference"/>
              </w:rPr>
              <w:footnoteReference w:id="100"/>
            </w:r>
          </w:p>
          <w:p w14:paraId="70878128" w14:textId="77777777" w:rsidR="00BF254E" w:rsidRDefault="00BF254E" w:rsidP="00BF254E">
            <w:pPr>
              <w:rPr>
                <w:b/>
                <w:bCs/>
              </w:rPr>
            </w:pPr>
            <w:r>
              <w:rPr>
                <w:b/>
                <w:bCs/>
              </w:rPr>
              <w:lastRenderedPageBreak/>
              <w:t>Note 2: Reasons for leaving service.</w:t>
            </w:r>
          </w:p>
          <w:p w14:paraId="1972DB96" w14:textId="77777777" w:rsidR="00BF254E" w:rsidRDefault="00BF254E" w:rsidP="00BF254E">
            <w:r>
              <w:t>“</w:t>
            </w:r>
            <w:r w:rsidRPr="000164C9">
              <w:t>In 2017, 89 women and 857 men left the armed forces. The main reasons why women tend to leave the armed forces are retirement, injury, personal undisclosed reasons, dismissal for poor performance or disciplinary offences, end of contract, and health issues. The main reasons why men tend to leave the armed forces are injury, personal undisclosed reasons, and end of contract.</w:t>
            </w:r>
            <w:r>
              <w:t>”</w:t>
            </w:r>
            <w:r w:rsidRPr="000164C9">
              <w:rPr>
                <w:rStyle w:val="FootnoteReference"/>
              </w:rPr>
              <w:t xml:space="preserve"> </w:t>
            </w:r>
            <w:r>
              <w:rPr>
                <w:rStyle w:val="FootnoteReference"/>
              </w:rPr>
              <w:footnoteReference w:id="101"/>
            </w:r>
          </w:p>
          <w:p w14:paraId="0B430D54" w14:textId="11C614E2" w:rsidR="00A77A34" w:rsidRPr="00662CBC" w:rsidRDefault="00A77A34" w:rsidP="00BE0FBA">
            <w:pPr>
              <w:rPr>
                <w:i/>
                <w:iCs/>
              </w:rPr>
            </w:pPr>
          </w:p>
        </w:tc>
        <w:tc>
          <w:tcPr>
            <w:tcW w:w="949" w:type="pct"/>
            <w:shd w:val="clear" w:color="auto" w:fill="auto"/>
          </w:tcPr>
          <w:p w14:paraId="013BD9AC" w14:textId="0B5ED683" w:rsidR="00A00FDC" w:rsidRPr="00662CBC" w:rsidRDefault="00A00FDC" w:rsidP="00DB5430">
            <w:pPr>
              <w:rPr>
                <w:b/>
                <w:bCs/>
              </w:rPr>
            </w:pPr>
            <w:r w:rsidRPr="00662CBC">
              <w:rPr>
                <w:b/>
                <w:bCs/>
              </w:rPr>
              <w:lastRenderedPageBreak/>
              <w:t xml:space="preserve">No mandatory service </w:t>
            </w:r>
          </w:p>
          <w:p w14:paraId="16F4A9F2" w14:textId="43286F1F" w:rsidR="00A00FDC" w:rsidRPr="00662CBC" w:rsidRDefault="00A00FDC" w:rsidP="00DB5430">
            <w:r w:rsidRPr="00662CBC">
              <w:t xml:space="preserve">“18-28 years of age for voluntary military service for men and women; conscription abolished 2004 (2022) </w:t>
            </w:r>
          </w:p>
          <w:p w14:paraId="2436F7EC" w14:textId="582B7A03" w:rsidR="004116DF" w:rsidRPr="00662CBC" w:rsidRDefault="00A00FDC" w:rsidP="00DB5430">
            <w:r w:rsidRPr="00662CBC">
              <w:rPr>
                <w:b/>
                <w:bCs/>
              </w:rPr>
              <w:t>note</w:t>
            </w:r>
            <w:r w:rsidRPr="00662CBC">
              <w:t>: as of 2019, women comprised about 13% of the military's full-time personnel”</w:t>
            </w:r>
            <w:r w:rsidR="004116DF" w:rsidRPr="005D2F5A">
              <w:rPr>
                <w:rStyle w:val="FootnoteReference"/>
              </w:rPr>
              <w:footnoteReference w:id="102"/>
            </w:r>
          </w:p>
        </w:tc>
        <w:tc>
          <w:tcPr>
            <w:tcW w:w="677" w:type="pct"/>
            <w:shd w:val="clear" w:color="auto" w:fill="auto"/>
          </w:tcPr>
          <w:p w14:paraId="14F95233" w14:textId="4F3E20BA" w:rsidR="004116DF" w:rsidRPr="00662CBC" w:rsidRDefault="00000000" w:rsidP="00DB5430">
            <w:hyperlink r:id="rId32" w:history="1">
              <w:r w:rsidR="00EF6E23" w:rsidRPr="00FE3C9E">
                <w:rPr>
                  <w:rStyle w:val="Hyperlink"/>
                  <w:b/>
                  <w:bCs/>
                </w:rPr>
                <w:t>NAP 2017-2020</w:t>
              </w:r>
              <w:r w:rsidR="00EF6E23" w:rsidRPr="00FE3C9E">
                <w:rPr>
                  <w:rStyle w:val="Hyperlink"/>
                </w:rPr>
                <w:t xml:space="preserve"> (2017)</w:t>
              </w:r>
            </w:hyperlink>
          </w:p>
          <w:p w14:paraId="2662F6B4" w14:textId="54025EB1" w:rsidR="007E12DA" w:rsidRPr="00662CBC" w:rsidRDefault="00000000" w:rsidP="007E12DA">
            <w:hyperlink r:id="rId33" w:history="1">
              <w:r w:rsidR="00DE2007" w:rsidRPr="00D579A5">
                <w:rPr>
                  <w:rStyle w:val="Hyperlink"/>
                  <w:b/>
                  <w:bCs/>
                </w:rPr>
                <w:t>NAP</w:t>
              </w:r>
              <w:r w:rsidR="00AC2846" w:rsidRPr="00D579A5">
                <w:rPr>
                  <w:rStyle w:val="Hyperlink"/>
                  <w:b/>
                  <w:bCs/>
                </w:rPr>
                <w:t xml:space="preserve"> 2021-2025</w:t>
              </w:r>
              <w:r w:rsidR="005F3FBC" w:rsidRPr="00D579A5">
                <w:rPr>
                  <w:rStyle w:val="Hyperlink"/>
                  <w:b/>
                  <w:bCs/>
                </w:rPr>
                <w:t xml:space="preserve"> </w:t>
              </w:r>
              <w:r w:rsidR="005F3FBC" w:rsidRPr="00D579A5">
                <w:rPr>
                  <w:rStyle w:val="Hyperlink"/>
                </w:rPr>
                <w:t>(2021)</w:t>
              </w:r>
            </w:hyperlink>
            <w:r w:rsidR="00E04C49" w:rsidRPr="00662CBC">
              <w:t xml:space="preserve"> the </w:t>
            </w:r>
            <w:r w:rsidR="00401448" w:rsidRPr="00662CBC">
              <w:t xml:space="preserve">NAP is very short – there is a </w:t>
            </w:r>
            <w:r w:rsidR="007A6005" w:rsidRPr="00662CBC">
              <w:t>NAP “measurer” guide published, which also details %</w:t>
            </w:r>
            <w:r w:rsidR="001F253C" w:rsidRPr="00662CBC">
              <w:t xml:space="preserve"> to be achieved by 2025. Example: “Seek gender-balanced selection committees for the executive positions.</w:t>
            </w:r>
            <w:r w:rsidR="004129F5" w:rsidRPr="00662CBC">
              <w:t xml:space="preserve"> – 75%</w:t>
            </w:r>
            <w:r w:rsidR="00B16402" w:rsidRPr="00662CBC">
              <w:t>”</w:t>
            </w:r>
            <w:r w:rsidR="007E12DA" w:rsidRPr="00662CBC">
              <w:t xml:space="preserve"> But there are no further quotas on women representation in WPS leadership.</w:t>
            </w:r>
            <w:r w:rsidR="00DD1009" w:rsidRPr="005D2F5A">
              <w:rPr>
                <w:rStyle w:val="FootnoteReference"/>
              </w:rPr>
              <w:footnoteReference w:id="103"/>
            </w:r>
          </w:p>
        </w:tc>
      </w:tr>
      <w:tr w:rsidR="005A7203" w:rsidRPr="00662CBC" w14:paraId="2AD89CBC" w14:textId="77777777" w:rsidTr="00F37D6B">
        <w:tc>
          <w:tcPr>
            <w:tcW w:w="139" w:type="pct"/>
            <w:shd w:val="clear" w:color="auto" w:fill="auto"/>
          </w:tcPr>
          <w:p w14:paraId="1F2D963D"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32E9594F" w14:textId="77777777" w:rsidR="004116DF" w:rsidRPr="00662CBC" w:rsidRDefault="004116DF" w:rsidP="007A3A59">
            <w:pPr>
              <w:pStyle w:val="Heading3"/>
            </w:pPr>
            <w:bookmarkStart w:id="17" w:name="_Toc132806701"/>
            <w:r w:rsidRPr="00662CBC">
              <w:t>Denmark</w:t>
            </w:r>
            <w:bookmarkEnd w:id="17"/>
            <w:r w:rsidRPr="00662CBC">
              <w:t xml:space="preserve"> </w:t>
            </w:r>
          </w:p>
          <w:p w14:paraId="3D13F98D" w14:textId="77777777" w:rsidR="004116DF" w:rsidRPr="00662CBC" w:rsidRDefault="004116DF" w:rsidP="006064D6">
            <w:pPr>
              <w:rPr>
                <w:b/>
                <w:bCs/>
                <w:szCs w:val="20"/>
              </w:rPr>
            </w:pPr>
          </w:p>
        </w:tc>
        <w:tc>
          <w:tcPr>
            <w:tcW w:w="855" w:type="pct"/>
            <w:shd w:val="clear" w:color="auto" w:fill="auto"/>
          </w:tcPr>
          <w:p w14:paraId="4A6B0C13" w14:textId="009478E5" w:rsidR="004116DF" w:rsidRPr="00662CBC" w:rsidRDefault="004116DF" w:rsidP="00714158">
            <w:r w:rsidRPr="00662CBC">
              <w:t>s. NDC submitted by EU</w:t>
            </w:r>
          </w:p>
        </w:tc>
        <w:tc>
          <w:tcPr>
            <w:tcW w:w="1023" w:type="pct"/>
            <w:shd w:val="clear" w:color="auto" w:fill="auto"/>
          </w:tcPr>
          <w:p w14:paraId="00F781A3" w14:textId="649BF191" w:rsidR="004116DF" w:rsidRPr="00662CBC" w:rsidRDefault="00506C81" w:rsidP="006064D6">
            <w:pPr>
              <w:rPr>
                <w:b/>
                <w:bCs/>
                <w:szCs w:val="20"/>
              </w:rPr>
            </w:pPr>
            <w:r w:rsidRPr="00662CBC">
              <w:rPr>
                <w:b/>
                <w:bCs/>
                <w:szCs w:val="20"/>
              </w:rPr>
              <w:t>—</w:t>
            </w:r>
          </w:p>
          <w:p w14:paraId="4D8F439B" w14:textId="7AF68B15" w:rsidR="002E346E" w:rsidRPr="00662CBC" w:rsidRDefault="005A4283" w:rsidP="006064D6">
            <w:pPr>
              <w:rPr>
                <w:szCs w:val="20"/>
              </w:rPr>
            </w:pPr>
            <w:r w:rsidRPr="00662CBC">
              <w:rPr>
                <w:szCs w:val="20"/>
              </w:rPr>
              <w:t xml:space="preserve">Uncertain: </w:t>
            </w:r>
          </w:p>
          <w:p w14:paraId="5E3C5D1E" w14:textId="275AD720" w:rsidR="00B52C0D" w:rsidRPr="00662CBC" w:rsidRDefault="008775FF" w:rsidP="00B52C0D">
            <w:pPr>
              <w:rPr>
                <w:szCs w:val="20"/>
              </w:rPr>
            </w:pPr>
            <w:r w:rsidRPr="00662CBC">
              <w:rPr>
                <w:szCs w:val="20"/>
              </w:rPr>
              <w:t xml:space="preserve">The </w:t>
            </w:r>
            <w:r w:rsidRPr="00662CBC">
              <w:rPr>
                <w:b/>
                <w:bCs/>
                <w:szCs w:val="20"/>
              </w:rPr>
              <w:t>Equal Treatment Act</w:t>
            </w:r>
            <w:r w:rsidRPr="00662CBC">
              <w:rPr>
                <w:szCs w:val="20"/>
              </w:rPr>
              <w:t xml:space="preserve"> (LBK no. 645 of 08/06/2011) applies to public service (§1 a.)</w:t>
            </w:r>
            <w:r w:rsidR="00CF0429" w:rsidRPr="005D2F5A">
              <w:rPr>
                <w:rStyle w:val="FootnoteReference"/>
              </w:rPr>
              <w:footnoteReference w:id="104"/>
            </w:r>
            <w:r w:rsidRPr="00662CBC">
              <w:rPr>
                <w:szCs w:val="20"/>
              </w:rPr>
              <w:t xml:space="preserve"> and </w:t>
            </w:r>
            <w:r w:rsidR="00B52C0D" w:rsidRPr="00662CBC">
              <w:rPr>
                <w:szCs w:val="20"/>
              </w:rPr>
              <w:t xml:space="preserve">“positive actions are allowed to improve the gender balance in employment and education, when following the criteria set out in the Executive Order No. 340/2007 on initiatives to promote gender equality. The Executive Order provides a legal basis for initiatives and positive actions, with a view to </w:t>
            </w:r>
            <w:r w:rsidR="00B52C0D" w:rsidRPr="00662CBC">
              <w:rPr>
                <w:szCs w:val="20"/>
              </w:rPr>
              <w:lastRenderedPageBreak/>
              <w:t xml:space="preserve">addressing and </w:t>
            </w:r>
            <w:proofErr w:type="spellStart"/>
            <w:r w:rsidR="00B52C0D" w:rsidRPr="00662CBC">
              <w:rPr>
                <w:szCs w:val="20"/>
              </w:rPr>
              <w:t>equalising</w:t>
            </w:r>
            <w:proofErr w:type="spellEnd"/>
            <w:r w:rsidR="00B52C0D" w:rsidRPr="00662CBC">
              <w:rPr>
                <w:szCs w:val="20"/>
              </w:rPr>
              <w:t xml:space="preserve"> an existing underrepresentation of one gender”</w:t>
            </w:r>
            <w:r w:rsidR="005224E0" w:rsidRPr="00662CBC">
              <w:rPr>
                <w:rStyle w:val="FootnoteReference"/>
              </w:rPr>
              <w:t xml:space="preserve"> </w:t>
            </w:r>
            <w:r w:rsidR="005224E0" w:rsidRPr="005D2F5A">
              <w:rPr>
                <w:rStyle w:val="FootnoteReference"/>
              </w:rPr>
              <w:footnoteReference w:id="105"/>
            </w:r>
          </w:p>
          <w:p w14:paraId="7A9799B7" w14:textId="4C150A63" w:rsidR="00506C81" w:rsidRPr="00662CBC" w:rsidRDefault="00506C81" w:rsidP="00B52C0D">
            <w:pPr>
              <w:rPr>
                <w:szCs w:val="20"/>
              </w:rPr>
            </w:pPr>
            <w:r w:rsidRPr="00662CBC">
              <w:rPr>
                <w:szCs w:val="20"/>
              </w:rPr>
              <w:t>The</w:t>
            </w:r>
            <w:r w:rsidR="005D1E26" w:rsidRPr="00662CBC">
              <w:rPr>
                <w:szCs w:val="20"/>
              </w:rPr>
              <w:t xml:space="preserve"> </w:t>
            </w:r>
            <w:r w:rsidR="005D1E26" w:rsidRPr="00662CBC">
              <w:rPr>
                <w:b/>
                <w:bCs/>
                <w:szCs w:val="20"/>
              </w:rPr>
              <w:t xml:space="preserve">Foreign Service Act </w:t>
            </w:r>
            <w:r w:rsidR="005D1E26" w:rsidRPr="00662CBC">
              <w:rPr>
                <w:szCs w:val="20"/>
              </w:rPr>
              <w:t>does not mention gender</w:t>
            </w:r>
            <w:r w:rsidR="005D1E26" w:rsidRPr="005D2F5A">
              <w:rPr>
                <w:rStyle w:val="FootnoteReference"/>
              </w:rPr>
              <w:footnoteReference w:id="106"/>
            </w:r>
            <w:r w:rsidRPr="00662CBC">
              <w:rPr>
                <w:b/>
                <w:bCs/>
                <w:szCs w:val="20"/>
              </w:rPr>
              <w:t xml:space="preserve"> </w:t>
            </w:r>
          </w:p>
        </w:tc>
        <w:tc>
          <w:tcPr>
            <w:tcW w:w="903" w:type="pct"/>
            <w:shd w:val="clear" w:color="auto" w:fill="auto"/>
          </w:tcPr>
          <w:p w14:paraId="32F2B6A2" w14:textId="1382F630" w:rsidR="00AA58B6" w:rsidRPr="00AA58B6" w:rsidRDefault="000F3550" w:rsidP="00AA58B6">
            <w:r>
              <w:rPr>
                <w:rStyle w:val="FootnoteReference"/>
                <w:b/>
                <w:bCs/>
              </w:rPr>
              <w:lastRenderedPageBreak/>
              <w:t>—</w:t>
            </w:r>
          </w:p>
          <w:p w14:paraId="2455279D" w14:textId="456C8FD5" w:rsidR="00AA58B6" w:rsidRDefault="00AA58B6" w:rsidP="00AA58B6">
            <w:r w:rsidRPr="00E96A95">
              <w:t>“</w:t>
            </w:r>
            <w:r w:rsidRPr="00025EAB">
              <w:t>There is no quota system for men or women in the DAF.</w:t>
            </w:r>
            <w:r>
              <w:t>”</w:t>
            </w:r>
            <w:r w:rsidRPr="00025EAB">
              <w:rPr>
                <w:rStyle w:val="FootnoteReference"/>
              </w:rPr>
              <w:t xml:space="preserve"> </w:t>
            </w:r>
            <w:r>
              <w:rPr>
                <w:rStyle w:val="FootnoteReference"/>
              </w:rPr>
              <w:footnoteReference w:id="107"/>
            </w:r>
          </w:p>
          <w:p w14:paraId="70D6C687" w14:textId="77777777" w:rsidR="00AA58B6" w:rsidRDefault="00AA58B6" w:rsidP="00AA58B6"/>
          <w:p w14:paraId="71DD85CD" w14:textId="77777777" w:rsidR="00AA58B6" w:rsidRDefault="00AA58B6" w:rsidP="00AA58B6">
            <w:r>
              <w:rPr>
                <w:b/>
                <w:bCs/>
              </w:rPr>
              <w:t>Note 1</w:t>
            </w:r>
            <w:r>
              <w:t xml:space="preserve">: </w:t>
            </w:r>
            <w:r>
              <w:rPr>
                <w:b/>
                <w:bCs/>
              </w:rPr>
              <w:t>Institutional mechanism to integrate gender</w:t>
            </w:r>
            <w:r w:rsidRPr="00025EAB">
              <w:t xml:space="preserve"> </w:t>
            </w:r>
            <w:r>
              <w:t>“</w:t>
            </w:r>
            <w:r w:rsidRPr="00025EAB">
              <w:t xml:space="preserve">There are no restrictions on the incorporation of women in the DAF. There is a military entity that deals with the integration of gender perspectives in the armed forces. The Danish Joint </w:t>
            </w:r>
            <w:proofErr w:type="spellStart"/>
            <w:r w:rsidRPr="00025EAB">
              <w:t>Defence</w:t>
            </w:r>
            <w:proofErr w:type="spellEnd"/>
            <w:r w:rsidRPr="00025EAB">
              <w:t xml:space="preserve"> Command operates a </w:t>
            </w:r>
            <w:r w:rsidRPr="00025EAB">
              <w:lastRenderedPageBreak/>
              <w:t>Diversity Forum where initiatives regarding gender perspectives are implemented. Additionally, 6 trained Gender Advisors (GENADs) are deployed in the armed forces</w:t>
            </w:r>
            <w:r w:rsidRPr="00E96A95">
              <w:t>.</w:t>
            </w:r>
            <w:r>
              <w:t>”</w:t>
            </w:r>
            <w:r w:rsidRPr="00E96A95">
              <w:rPr>
                <w:rStyle w:val="FootnoteReference"/>
              </w:rPr>
              <w:t xml:space="preserve"> </w:t>
            </w:r>
            <w:r>
              <w:rPr>
                <w:rStyle w:val="FootnoteReference"/>
              </w:rPr>
              <w:footnoteReference w:id="108"/>
            </w:r>
          </w:p>
          <w:p w14:paraId="5A630C85" w14:textId="77777777" w:rsidR="00AA58B6" w:rsidRDefault="00AA58B6" w:rsidP="00AA58B6">
            <w:r>
              <w:rPr>
                <w:b/>
                <w:bCs/>
              </w:rPr>
              <w:t>Note 2: Military equipment/facilities/and uniform for both sexes</w:t>
            </w:r>
            <w:r>
              <w:t>: “</w:t>
            </w:r>
            <w:r w:rsidRPr="00025EAB">
              <w:t>Military equipment is adapted for women and men. Military facilities are adapted for women and men. Both sizes and cuts of uniforms are adapted for women and men.</w:t>
            </w:r>
            <w:r>
              <w:t>”</w:t>
            </w:r>
            <w:r w:rsidRPr="00025EAB">
              <w:rPr>
                <w:rStyle w:val="FootnoteReference"/>
              </w:rPr>
              <w:t xml:space="preserve"> </w:t>
            </w:r>
            <w:r>
              <w:rPr>
                <w:rStyle w:val="FootnoteReference"/>
              </w:rPr>
              <w:footnoteReference w:id="109"/>
            </w:r>
          </w:p>
          <w:p w14:paraId="24F106DB" w14:textId="49F50908" w:rsidR="00AA58B6" w:rsidRPr="00662CBC" w:rsidRDefault="00AA58B6" w:rsidP="006064D6">
            <w:pPr>
              <w:rPr>
                <w:b/>
                <w:bCs/>
                <w:szCs w:val="20"/>
              </w:rPr>
            </w:pPr>
          </w:p>
        </w:tc>
        <w:tc>
          <w:tcPr>
            <w:tcW w:w="949" w:type="pct"/>
            <w:shd w:val="clear" w:color="auto" w:fill="auto"/>
          </w:tcPr>
          <w:p w14:paraId="6CF436C4" w14:textId="6AF26B44" w:rsidR="00B36418" w:rsidRPr="00662CBC" w:rsidRDefault="006C6B78" w:rsidP="00B36418">
            <w:pPr>
              <w:rPr>
                <w:b/>
                <w:bCs/>
                <w:szCs w:val="20"/>
              </w:rPr>
            </w:pPr>
            <w:r w:rsidRPr="00662CBC">
              <w:rPr>
                <w:b/>
                <w:bCs/>
                <w:szCs w:val="20"/>
              </w:rPr>
              <w:lastRenderedPageBreak/>
              <w:t xml:space="preserve">Compulsory service for men if they are conscripted via lottery system </w:t>
            </w:r>
            <w:r w:rsidR="00562F8D" w:rsidRPr="00662CBC">
              <w:rPr>
                <w:b/>
                <w:bCs/>
                <w:szCs w:val="20"/>
              </w:rPr>
              <w:t>– it is</w:t>
            </w:r>
            <w:r w:rsidR="000F6F90" w:rsidRPr="00662CBC">
              <w:rPr>
                <w:b/>
                <w:bCs/>
                <w:szCs w:val="20"/>
              </w:rPr>
              <w:t xml:space="preserve"> has recently (</w:t>
            </w:r>
            <w:r w:rsidR="000F6F90" w:rsidRPr="00662CBC">
              <w:rPr>
                <w:szCs w:val="20"/>
              </w:rPr>
              <w:t>Jan. 2023)</w:t>
            </w:r>
            <w:r w:rsidR="00562F8D" w:rsidRPr="00662CBC">
              <w:rPr>
                <w:b/>
                <w:bCs/>
                <w:szCs w:val="20"/>
              </w:rPr>
              <w:t xml:space="preserve"> proposed that women be included in that lottery system</w:t>
            </w:r>
            <w:r w:rsidR="003227CB" w:rsidRPr="005D2F5A">
              <w:rPr>
                <w:rStyle w:val="FootnoteReference"/>
              </w:rPr>
              <w:footnoteReference w:id="110"/>
            </w:r>
          </w:p>
          <w:p w14:paraId="42BCD81B" w14:textId="56ADEA32" w:rsidR="004116DF" w:rsidRPr="00662CBC" w:rsidRDefault="006B21AE" w:rsidP="006B21AE">
            <w:r w:rsidRPr="00662CBC">
              <w:t xml:space="preserve">“18 years of age for compulsory and voluntary military service; conscripts serve an initial training period that varies from 4 to 12 months depending on specialization; former conscripts are assigned to mobilization units; women eligible to volunteer for military service; in addition to full </w:t>
            </w:r>
            <w:r w:rsidRPr="00662CBC">
              <w:lastRenderedPageBreak/>
              <w:t>time employment, the Danish military offers reserve contracts in all three branches (2022)</w:t>
            </w:r>
            <w:r w:rsidRPr="00662CBC">
              <w:br/>
            </w:r>
            <w:r w:rsidRPr="00662CBC">
              <w:rPr>
                <w:b/>
                <w:bCs/>
              </w:rPr>
              <w:t>note 1</w:t>
            </w:r>
            <w:r w:rsidRPr="00662CBC">
              <w:t xml:space="preserve">: women have been able serve in all military occupations, including combat arms, since 1988; as of 2019, they made up about 8% of the military's full-time personnel; conscientious objectors can choose to instead serve 6 months in a non-military position, for example in </w:t>
            </w:r>
            <w:proofErr w:type="spellStart"/>
            <w:r w:rsidRPr="00662CBC">
              <w:t>Beredskabsstyrelsen</w:t>
            </w:r>
            <w:proofErr w:type="spellEnd"/>
            <w:r w:rsidRPr="00662CBC">
              <w:t xml:space="preserve"> (dealing with non-military disasters like fires, flood, pollution, etc.) or overseas foreign aid work</w:t>
            </w:r>
            <w:r w:rsidRPr="00662CBC">
              <w:br/>
            </w:r>
            <w:r w:rsidRPr="00662CBC">
              <w:rPr>
                <w:b/>
                <w:bCs/>
              </w:rPr>
              <w:t>note 2</w:t>
            </w:r>
            <w:r w:rsidRPr="00662CBC">
              <w:t xml:space="preserve">: foreigners who have lived in Denmark for at least 1 year or in another EU country for 6 years may apply to join the armed forces, provided they are fluent in Danish </w:t>
            </w:r>
            <w:r w:rsidRPr="00662CBC">
              <w:br/>
            </w:r>
            <w:r w:rsidRPr="00662CBC">
              <w:rPr>
                <w:b/>
                <w:bCs/>
              </w:rPr>
              <w:t>note 2</w:t>
            </w:r>
            <w:r w:rsidRPr="00662CBC">
              <w:t>: Denmark has had compulsory military service since 1849”</w:t>
            </w:r>
            <w:r w:rsidR="004116DF" w:rsidRPr="005D2F5A">
              <w:rPr>
                <w:rStyle w:val="FootnoteReference"/>
              </w:rPr>
              <w:footnoteReference w:id="111"/>
            </w:r>
          </w:p>
        </w:tc>
        <w:tc>
          <w:tcPr>
            <w:tcW w:w="677" w:type="pct"/>
            <w:shd w:val="clear" w:color="auto" w:fill="auto"/>
          </w:tcPr>
          <w:p w14:paraId="3C2675F1" w14:textId="150FC3C6" w:rsidR="003334EB" w:rsidRPr="00662CBC" w:rsidRDefault="00000000" w:rsidP="00425F18">
            <w:pPr>
              <w:rPr>
                <w:b/>
                <w:bCs/>
                <w:szCs w:val="20"/>
              </w:rPr>
            </w:pPr>
            <w:hyperlink r:id="rId34" w:history="1">
              <w:r w:rsidR="003334EB" w:rsidRPr="004474A4">
                <w:rPr>
                  <w:rStyle w:val="Hyperlink"/>
                  <w:b/>
                  <w:bCs/>
                  <w:szCs w:val="20"/>
                </w:rPr>
                <w:t xml:space="preserve">NAP 2005-2007 </w:t>
              </w:r>
              <w:r w:rsidR="003334EB" w:rsidRPr="004474A4">
                <w:rPr>
                  <w:rStyle w:val="Hyperlink"/>
                  <w:szCs w:val="20"/>
                </w:rPr>
                <w:t>(2005)</w:t>
              </w:r>
            </w:hyperlink>
          </w:p>
          <w:p w14:paraId="435F1E09" w14:textId="52C706B5" w:rsidR="003334EB" w:rsidRPr="00662CBC" w:rsidRDefault="00000000" w:rsidP="00425F18">
            <w:pPr>
              <w:rPr>
                <w:b/>
                <w:bCs/>
                <w:szCs w:val="20"/>
              </w:rPr>
            </w:pPr>
            <w:hyperlink r:id="rId35" w:history="1">
              <w:r w:rsidR="003334EB" w:rsidRPr="001B6611">
                <w:rPr>
                  <w:rStyle w:val="Hyperlink"/>
                  <w:b/>
                  <w:bCs/>
                  <w:szCs w:val="20"/>
                </w:rPr>
                <w:t xml:space="preserve">NAP 2008-2013 </w:t>
              </w:r>
              <w:r w:rsidR="003334EB" w:rsidRPr="001B6611">
                <w:rPr>
                  <w:rStyle w:val="Hyperlink"/>
                  <w:szCs w:val="20"/>
                </w:rPr>
                <w:t>(2008)</w:t>
              </w:r>
            </w:hyperlink>
          </w:p>
          <w:p w14:paraId="12B936F1" w14:textId="63CCAA6B" w:rsidR="003334EB" w:rsidRPr="00662CBC" w:rsidRDefault="00000000" w:rsidP="00425F18">
            <w:pPr>
              <w:rPr>
                <w:szCs w:val="20"/>
              </w:rPr>
            </w:pPr>
            <w:hyperlink r:id="rId36" w:history="1">
              <w:r w:rsidR="003334EB" w:rsidRPr="001B6611">
                <w:rPr>
                  <w:rStyle w:val="Hyperlink"/>
                  <w:b/>
                  <w:bCs/>
                  <w:szCs w:val="20"/>
                </w:rPr>
                <w:t xml:space="preserve">NAP 2014-2019 </w:t>
              </w:r>
              <w:r w:rsidR="003334EB" w:rsidRPr="001B6611">
                <w:rPr>
                  <w:rStyle w:val="Hyperlink"/>
                  <w:szCs w:val="20"/>
                </w:rPr>
                <w:t>(2014)</w:t>
              </w:r>
            </w:hyperlink>
          </w:p>
          <w:p w14:paraId="4DA0BF52" w14:textId="61EC4C87" w:rsidR="00425F18" w:rsidRPr="00662CBC" w:rsidRDefault="00000000" w:rsidP="00425F18">
            <w:pPr>
              <w:rPr>
                <w:szCs w:val="20"/>
              </w:rPr>
            </w:pPr>
            <w:hyperlink r:id="rId37" w:history="1">
              <w:r w:rsidR="00425F18" w:rsidRPr="001B6611">
                <w:rPr>
                  <w:rStyle w:val="Hyperlink"/>
                  <w:b/>
                  <w:bCs/>
                  <w:szCs w:val="20"/>
                </w:rPr>
                <w:t>NAP 2020-2024</w:t>
              </w:r>
              <w:r w:rsidR="00AA1C48" w:rsidRPr="001B6611">
                <w:rPr>
                  <w:rStyle w:val="Hyperlink"/>
                  <w:b/>
                  <w:bCs/>
                  <w:szCs w:val="20"/>
                </w:rPr>
                <w:t xml:space="preserve"> (NAP VI)</w:t>
              </w:r>
              <w:r w:rsidR="003334EB" w:rsidRPr="001B6611">
                <w:rPr>
                  <w:rStyle w:val="Hyperlink"/>
                  <w:b/>
                  <w:bCs/>
                  <w:szCs w:val="20"/>
                </w:rPr>
                <w:t xml:space="preserve"> </w:t>
              </w:r>
              <w:r w:rsidR="003334EB" w:rsidRPr="001B6611">
                <w:rPr>
                  <w:rStyle w:val="Hyperlink"/>
                  <w:szCs w:val="20"/>
                </w:rPr>
                <w:t>(2020)</w:t>
              </w:r>
            </w:hyperlink>
            <w:r w:rsidR="00AA1C48" w:rsidRPr="00662CBC">
              <w:rPr>
                <w:szCs w:val="20"/>
              </w:rPr>
              <w:t xml:space="preserve"> focuses on outcomes, states that participation has been strengthened but does not name precise numbers </w:t>
            </w:r>
            <w:r w:rsidR="00BA2975" w:rsidRPr="005D2F5A">
              <w:rPr>
                <w:rStyle w:val="FootnoteReference"/>
              </w:rPr>
              <w:footnoteReference w:id="112"/>
            </w:r>
            <w:r w:rsidR="00722DAA" w:rsidRPr="00662CBC">
              <w:rPr>
                <w:szCs w:val="20"/>
              </w:rPr>
              <w:t xml:space="preserve"> neither does the Ministry of </w:t>
            </w:r>
            <w:proofErr w:type="spellStart"/>
            <w:r w:rsidR="00722DAA" w:rsidRPr="00662CBC">
              <w:rPr>
                <w:szCs w:val="20"/>
              </w:rPr>
              <w:t>Defence</w:t>
            </w:r>
            <w:proofErr w:type="spellEnd"/>
            <w:r w:rsidR="00722DAA" w:rsidRPr="00662CBC">
              <w:rPr>
                <w:szCs w:val="20"/>
              </w:rPr>
              <w:t xml:space="preserve"> </w:t>
            </w:r>
            <w:r w:rsidR="00722DAA" w:rsidRPr="00662CBC">
              <w:rPr>
                <w:szCs w:val="20"/>
              </w:rPr>
              <w:lastRenderedPageBreak/>
              <w:t>implementation plan 2021</w:t>
            </w:r>
            <w:r w:rsidR="00722DAA" w:rsidRPr="005D2F5A">
              <w:rPr>
                <w:rStyle w:val="FootnoteReference"/>
              </w:rPr>
              <w:footnoteReference w:id="113"/>
            </w:r>
          </w:p>
        </w:tc>
      </w:tr>
      <w:tr w:rsidR="005A7203" w:rsidRPr="00662CBC" w14:paraId="7875ED67" w14:textId="77777777" w:rsidTr="00F37D6B">
        <w:tc>
          <w:tcPr>
            <w:tcW w:w="139" w:type="pct"/>
            <w:shd w:val="clear" w:color="auto" w:fill="auto"/>
          </w:tcPr>
          <w:p w14:paraId="53019A02"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7F7E2407" w14:textId="77777777" w:rsidR="004116DF" w:rsidRPr="00662CBC" w:rsidRDefault="004116DF" w:rsidP="006064D6">
            <w:pPr>
              <w:pStyle w:val="Heading3"/>
            </w:pPr>
            <w:bookmarkStart w:id="18" w:name="_Toc132806702"/>
            <w:r w:rsidRPr="00662CBC">
              <w:t>Estonia</w:t>
            </w:r>
            <w:bookmarkEnd w:id="18"/>
            <w:r w:rsidRPr="00662CBC">
              <w:t xml:space="preserve"> </w:t>
            </w:r>
          </w:p>
          <w:p w14:paraId="25391090" w14:textId="77777777" w:rsidR="004116DF" w:rsidRPr="00662CBC" w:rsidRDefault="004116DF" w:rsidP="006064D6">
            <w:pPr>
              <w:rPr>
                <w:color w:val="FF0000"/>
                <w:szCs w:val="20"/>
              </w:rPr>
            </w:pPr>
          </w:p>
        </w:tc>
        <w:tc>
          <w:tcPr>
            <w:tcW w:w="855" w:type="pct"/>
            <w:shd w:val="clear" w:color="auto" w:fill="auto"/>
          </w:tcPr>
          <w:p w14:paraId="53AF66C9" w14:textId="2C1B71B6" w:rsidR="004116DF" w:rsidRPr="00662CBC" w:rsidRDefault="004116DF" w:rsidP="00714158">
            <w:r w:rsidRPr="00662CBC">
              <w:t>s. NDC submitted by EU</w:t>
            </w:r>
          </w:p>
        </w:tc>
        <w:tc>
          <w:tcPr>
            <w:tcW w:w="1023" w:type="pct"/>
            <w:shd w:val="clear" w:color="auto" w:fill="auto"/>
          </w:tcPr>
          <w:p w14:paraId="24B2FA3D" w14:textId="77777777" w:rsidR="00DF021B" w:rsidRPr="00662CBC" w:rsidRDefault="00DF021B" w:rsidP="00DF021B">
            <w:pPr>
              <w:rPr>
                <w:b/>
                <w:bCs/>
              </w:rPr>
            </w:pPr>
            <w:r w:rsidRPr="00662CBC">
              <w:rPr>
                <w:b/>
                <w:bCs/>
              </w:rPr>
              <w:t xml:space="preserve">No legislated quotas </w:t>
            </w:r>
          </w:p>
          <w:p w14:paraId="0136CD4E" w14:textId="77777777" w:rsidR="00DF021B" w:rsidRPr="00662CBC" w:rsidRDefault="00DF021B" w:rsidP="00DF021B">
            <w:r w:rsidRPr="00662CBC">
              <w:t>“4.3.7 Positive action measures (Article 3 of Recast Directive 2006/54) There are no positive temporary measures to achieve full equality between men and women in working life in Estonia. The only positive temporary measures that have been used in the public sector were aimed at people with disabilities.”</w:t>
            </w:r>
            <w:r w:rsidRPr="005D2F5A">
              <w:rPr>
                <w:rStyle w:val="FootnoteReference"/>
              </w:rPr>
              <w:footnoteReference w:id="114"/>
            </w:r>
          </w:p>
          <w:p w14:paraId="2E6EE654" w14:textId="77777777" w:rsidR="00DF021B" w:rsidRPr="00662CBC" w:rsidRDefault="00DF021B" w:rsidP="00DF021B">
            <w:r w:rsidRPr="00662CBC">
              <w:br/>
              <w:t xml:space="preserve">Positive measures are allowed: </w:t>
            </w:r>
            <w:hyperlink r:id="rId38" w:history="1">
              <w:r w:rsidRPr="00662CBC">
                <w:rPr>
                  <w:rStyle w:val="Hyperlink"/>
                </w:rPr>
                <w:t>Gender Equality Act, §5(2)5)</w:t>
              </w:r>
            </w:hyperlink>
            <w:r w:rsidRPr="00662CBC">
              <w:t>: “(2) The following are not deemed to be direct or indirect discrimination based on sex:</w:t>
            </w:r>
            <w:r w:rsidRPr="00662CBC">
              <w:br/>
              <w:t>5) application of temporary specific measures that promote gender equality and give advantages to the less-represented sex or reduce gender inequality.”</w:t>
            </w:r>
          </w:p>
          <w:p w14:paraId="6F86F8CF" w14:textId="77777777" w:rsidR="00DF021B" w:rsidRPr="00662CBC" w:rsidRDefault="00DF021B" w:rsidP="00DF021B"/>
          <w:p w14:paraId="28040FCE" w14:textId="77777777" w:rsidR="00DF021B" w:rsidRPr="00662CBC" w:rsidRDefault="00DF021B" w:rsidP="00DF021B">
            <w:r w:rsidRPr="00662CBC">
              <w:t xml:space="preserve">The </w:t>
            </w:r>
            <w:hyperlink r:id="rId39" w:history="1">
              <w:r w:rsidRPr="00662CBC">
                <w:rPr>
                  <w:rStyle w:val="Hyperlink"/>
                </w:rPr>
                <w:t>Gender Equality Act</w:t>
              </w:r>
            </w:hyperlink>
            <w:r w:rsidRPr="00662CBC">
              <w:t>, Applies to the public sector</w:t>
            </w:r>
          </w:p>
          <w:p w14:paraId="3EDF119A" w14:textId="63FA48D7" w:rsidR="00DF021B" w:rsidRPr="00662CBC" w:rsidRDefault="00DF021B" w:rsidP="00DF021B">
            <w:r w:rsidRPr="00662CBC">
              <w:t xml:space="preserve">§ 1.  Purpose and scope of Act [RT I 2008, 56, 315 - entry into force 01.01.2009] (1) The purpose of this Act is to ensure equal treatment of </w:t>
            </w:r>
            <w:r w:rsidRPr="00662CBC">
              <w:lastRenderedPageBreak/>
              <w:t xml:space="preserve">men and women as provided for in the Constitution of the Republic of Estonia and to promote equality of men and women as a fundamental human right and for the public good in all areas of social life. </w:t>
            </w:r>
            <w:r w:rsidRPr="00662CBC">
              <w:br/>
              <w:t xml:space="preserve">(2) To achieve this purpose, this Act provides for: […] 2) the obligation of state and local government authorities, educational and research </w:t>
            </w:r>
            <w:proofErr w:type="gramStart"/>
            <w:r w:rsidRPr="00662CBC">
              <w:t>institutions</w:t>
            </w:r>
            <w:proofErr w:type="gramEnd"/>
            <w:r w:rsidRPr="00662CBC">
              <w:t xml:space="preserve"> and employers to promote equality between men and women;”</w:t>
            </w:r>
            <w:r w:rsidR="000F29B9" w:rsidRPr="005D2F5A">
              <w:rPr>
                <w:rStyle w:val="FootnoteReference"/>
              </w:rPr>
              <w:footnoteReference w:id="115"/>
            </w:r>
          </w:p>
          <w:p w14:paraId="5AF6CD53" w14:textId="41E52D26" w:rsidR="004116DF" w:rsidRPr="00662CBC" w:rsidRDefault="004116DF" w:rsidP="0058002F"/>
        </w:tc>
        <w:tc>
          <w:tcPr>
            <w:tcW w:w="903" w:type="pct"/>
            <w:shd w:val="clear" w:color="auto" w:fill="auto"/>
          </w:tcPr>
          <w:p w14:paraId="6D4A7A17" w14:textId="0D97C3A1" w:rsidR="00AF73E0" w:rsidRPr="00662CBC" w:rsidRDefault="00AF73E0" w:rsidP="00FC66DB">
            <w:pPr>
              <w:rPr>
                <w:b/>
                <w:bCs/>
              </w:rPr>
            </w:pPr>
            <w:r w:rsidRPr="00662CBC">
              <w:rPr>
                <w:b/>
                <w:bCs/>
              </w:rPr>
              <w:lastRenderedPageBreak/>
              <w:t xml:space="preserve">No legislated quotas </w:t>
            </w:r>
          </w:p>
          <w:p w14:paraId="46F212A5" w14:textId="02A943A6" w:rsidR="004116DF" w:rsidRPr="00662CBC" w:rsidRDefault="00AF73E0" w:rsidP="007B719A">
            <w:pPr>
              <w:spacing w:before="0" w:after="0"/>
              <w:jc w:val="left"/>
            </w:pPr>
            <w:r w:rsidRPr="00662CBC">
              <w:t>“</w:t>
            </w:r>
            <w:r w:rsidRPr="002A173E">
              <w:t>Although in Norway and Sweden conscription is mandatory for women, the recruitment process there is also different from in Estonia.</w:t>
            </w:r>
            <w:r w:rsidRPr="00662CBC">
              <w:br/>
            </w:r>
            <w:r w:rsidRPr="002A173E">
              <w:t xml:space="preserve">Sweden has an annual selection pool of 100,000 young people, from which between 4,000 and 5,000 are called up each year. "(Estonia's) selection pool is 10,000, from which we call up 3,000 to 4,000. The selection mechanism there is so much stronger. They </w:t>
            </w:r>
            <w:proofErr w:type="gramStart"/>
            <w:r w:rsidRPr="002A173E">
              <w:t>are able to</w:t>
            </w:r>
            <w:proofErr w:type="gramEnd"/>
            <w:r w:rsidRPr="002A173E">
              <w:t xml:space="preserve"> take highly motivated men and women," said </w:t>
            </w:r>
            <w:proofErr w:type="spellStart"/>
            <w:r w:rsidRPr="002A173E">
              <w:t>Lillemäe</w:t>
            </w:r>
            <w:proofErr w:type="spellEnd"/>
            <w:r w:rsidRPr="002A173E">
              <w:t>.</w:t>
            </w:r>
            <w:r w:rsidRPr="00662CBC">
              <w:br/>
            </w:r>
            <w:r w:rsidRPr="002A173E">
              <w:t>For women in Estonia, military service is voluntary and includes a 90-day period during which they can choose to opt out. Opinion polls among recruits confirm that, in other respects, women serve on equal footing with men.</w:t>
            </w:r>
            <w:r w:rsidRPr="00662CBC">
              <w:br/>
              <w:t>Women have been able to join up for military service in Estonia since 2013, with 15 doing so at the first time of asking.</w:t>
            </w:r>
            <w:r w:rsidRPr="00662CBC">
              <w:br/>
            </w:r>
            <w:r w:rsidRPr="00662CBC">
              <w:rPr>
                <w:b/>
                <w:bCs/>
              </w:rPr>
              <w:t xml:space="preserve">As the total number </w:t>
            </w:r>
            <w:r w:rsidRPr="00662CBC">
              <w:rPr>
                <w:b/>
                <w:bCs/>
              </w:rPr>
              <w:lastRenderedPageBreak/>
              <w:t xml:space="preserve">completing military service is set to rise, so too will the number of women involved. However, according to deputy director-general Anu </w:t>
            </w:r>
            <w:proofErr w:type="spellStart"/>
            <w:r w:rsidRPr="00662CBC">
              <w:rPr>
                <w:b/>
                <w:bCs/>
              </w:rPr>
              <w:t>Rannaveski</w:t>
            </w:r>
            <w:proofErr w:type="spellEnd"/>
            <w:r w:rsidRPr="00662CBC">
              <w:rPr>
                <w:b/>
                <w:bCs/>
              </w:rPr>
              <w:t>, the Defense Resources Agency has not set specific targets for the recruitment of women</w:t>
            </w:r>
            <w:r w:rsidRPr="00662CBC">
              <w:t>.</w:t>
            </w:r>
            <w:r w:rsidRPr="00662CBC">
              <w:br/>
              <w:t xml:space="preserve">"We want to reach as many young women and girls as possible, so that they choose the path of military service. We have pretty good practice in (providing national defense education. Around 6,000 students go through (the process) every year, half of them are women. This shows that girls are interested in national defense," said </w:t>
            </w:r>
            <w:proofErr w:type="spellStart"/>
            <w:r w:rsidRPr="00662CBC">
              <w:t>Rannaveski</w:t>
            </w:r>
            <w:proofErr w:type="spellEnd"/>
            <w:r w:rsidRPr="00662CBC">
              <w:t xml:space="preserve">. </w:t>
            </w:r>
            <w:r w:rsidRPr="00662CBC">
              <w:br/>
              <w:t xml:space="preserve">The current system, whereby women participate in the national defense on an entirely voluntary basis, is supported by about 80 percent of Estonian society, while only around five percent are in favor of </w:t>
            </w:r>
            <w:r w:rsidRPr="00662CBC">
              <w:lastRenderedPageBreak/>
              <w:t>mandatory national service for women.” (</w:t>
            </w:r>
            <w:proofErr w:type="gramStart"/>
            <w:r w:rsidRPr="00662CBC">
              <w:t>emphasis</w:t>
            </w:r>
            <w:proofErr w:type="gramEnd"/>
            <w:r w:rsidRPr="00662CBC">
              <w:t xml:space="preserve"> added</w:t>
            </w:r>
            <w:r w:rsidR="00CF48B1" w:rsidRPr="00662CBC">
              <w:t>)</w:t>
            </w:r>
            <w:r w:rsidR="00B52D99">
              <w:t xml:space="preserve"> </w:t>
            </w:r>
            <w:r w:rsidR="00E17EF6" w:rsidRPr="005D2F5A">
              <w:rPr>
                <w:rStyle w:val="FootnoteReference"/>
              </w:rPr>
              <w:footnoteReference w:id="116"/>
            </w:r>
          </w:p>
          <w:p w14:paraId="62655133" w14:textId="77777777" w:rsidR="000F29B9" w:rsidRPr="00662CBC" w:rsidRDefault="000F29B9" w:rsidP="00AF73E0">
            <w:pPr>
              <w:spacing w:before="0" w:after="0"/>
            </w:pPr>
          </w:p>
          <w:p w14:paraId="426DF3FC" w14:textId="4AA47BC1" w:rsidR="000F29B9" w:rsidRPr="00662CBC" w:rsidRDefault="007568F5" w:rsidP="000F29B9">
            <w:pPr>
              <w:spacing w:before="0" w:after="0"/>
            </w:pPr>
            <w:r w:rsidRPr="007568F5">
              <w:rPr>
                <w:b/>
                <w:bCs/>
              </w:rPr>
              <w:t>Note:</w:t>
            </w:r>
            <w:r w:rsidR="000F29B9" w:rsidRPr="00662CBC">
              <w:t xml:space="preserve"> </w:t>
            </w:r>
            <w:hyperlink r:id="rId40" w:history="1">
              <w:r w:rsidR="000F29B9" w:rsidRPr="00B52D99">
                <w:rPr>
                  <w:rStyle w:val="Hyperlink"/>
                  <w:b/>
                  <w:bCs/>
                </w:rPr>
                <w:t>Gender Equality Act, §5(2)2)</w:t>
              </w:r>
            </w:hyperlink>
            <w:r w:rsidR="000F29B9" w:rsidRPr="00B52D99">
              <w:rPr>
                <w:b/>
                <w:bCs/>
              </w:rPr>
              <w:t>:</w:t>
            </w:r>
          </w:p>
          <w:p w14:paraId="4930F14D" w14:textId="77777777" w:rsidR="000F29B9" w:rsidRPr="00662CBC" w:rsidRDefault="000F29B9" w:rsidP="000F29B9">
            <w:pPr>
              <w:spacing w:before="0" w:after="0"/>
            </w:pPr>
            <w:r w:rsidRPr="00662CBC">
              <w:t>“</w:t>
            </w:r>
            <w:r w:rsidRPr="000F29B9">
              <w:t xml:space="preserve">(2) The following are not deemed to be direct or indirect discrimination based on sex: </w:t>
            </w:r>
            <w:r w:rsidRPr="000F29B9">
              <w:br/>
              <w:t>2) establishment of compulsory military service only for men;”</w:t>
            </w:r>
            <w:r w:rsidR="002F3DD2" w:rsidRPr="00662CBC">
              <w:rPr>
                <w:rStyle w:val="FootnoteReference"/>
              </w:rPr>
              <w:t xml:space="preserve"> </w:t>
            </w:r>
            <w:r w:rsidR="002F3DD2" w:rsidRPr="005D2F5A">
              <w:rPr>
                <w:rStyle w:val="FootnoteReference"/>
              </w:rPr>
              <w:footnoteReference w:id="117"/>
            </w:r>
          </w:p>
          <w:p w14:paraId="7CDA2D4A" w14:textId="77777777" w:rsidR="00296DA5" w:rsidRPr="00662CBC" w:rsidRDefault="00296DA5" w:rsidP="000F29B9">
            <w:pPr>
              <w:spacing w:before="0" w:after="0"/>
            </w:pPr>
          </w:p>
          <w:p w14:paraId="5EFC86FB" w14:textId="7C41BE4A" w:rsidR="00135471" w:rsidRPr="00135471" w:rsidRDefault="00B85639" w:rsidP="0032385A">
            <w:pPr>
              <w:spacing w:before="0" w:after="0"/>
            </w:pPr>
            <w:r>
              <w:rPr>
                <w:b/>
                <w:bCs/>
              </w:rPr>
              <w:t>Note</w:t>
            </w:r>
            <w:r w:rsidR="007568F5">
              <w:rPr>
                <w:b/>
                <w:bCs/>
              </w:rPr>
              <w:t xml:space="preserve"> 2</w:t>
            </w:r>
            <w:r>
              <w:rPr>
                <w:b/>
                <w:bCs/>
              </w:rPr>
              <w:t>:</w:t>
            </w:r>
            <w:r w:rsidR="00135471">
              <w:rPr>
                <w:b/>
                <w:bCs/>
              </w:rPr>
              <w:t xml:space="preserve"> Policies promoting women in the Armed </w:t>
            </w:r>
            <w:proofErr w:type="gramStart"/>
            <w:r w:rsidR="00135471">
              <w:rPr>
                <w:b/>
                <w:bCs/>
              </w:rPr>
              <w:t>forces</w:t>
            </w:r>
            <w:proofErr w:type="gramEnd"/>
          </w:p>
          <w:p w14:paraId="616FEFA4" w14:textId="6DFB5BC5" w:rsidR="0039051B" w:rsidRPr="00662CBC" w:rsidRDefault="00B85639" w:rsidP="0032385A">
            <w:pPr>
              <w:spacing w:before="0" w:after="0"/>
            </w:pPr>
            <w:r>
              <w:rPr>
                <w:b/>
                <w:bCs/>
              </w:rPr>
              <w:t xml:space="preserve"> </w:t>
            </w:r>
            <w:r>
              <w:t>“</w:t>
            </w:r>
            <w:r w:rsidR="00296DA5" w:rsidRPr="00662CBC">
              <w:t xml:space="preserve">The Policy for Increasing the Opportunities for Women’s Participation in the </w:t>
            </w:r>
            <w:proofErr w:type="spellStart"/>
            <w:r w:rsidR="00296DA5" w:rsidRPr="00662CBC">
              <w:t>Defence</w:t>
            </w:r>
            <w:proofErr w:type="spellEnd"/>
            <w:r w:rsidR="00296DA5" w:rsidRPr="00662CBC">
              <w:t xml:space="preserve"> Forces’ (‘</w:t>
            </w:r>
            <w:proofErr w:type="spellStart"/>
            <w:r w:rsidR="00296DA5" w:rsidRPr="00662CBC">
              <w:t>Poliitika</w:t>
            </w:r>
            <w:proofErr w:type="spellEnd"/>
            <w:r w:rsidR="00296DA5" w:rsidRPr="00662CBC">
              <w:t xml:space="preserve"> </w:t>
            </w:r>
            <w:proofErr w:type="spellStart"/>
            <w:r w:rsidR="00296DA5" w:rsidRPr="00662CBC">
              <w:t>naiste</w:t>
            </w:r>
            <w:proofErr w:type="spellEnd"/>
            <w:r w:rsidR="00296DA5" w:rsidRPr="00662CBC">
              <w:t xml:space="preserve"> </w:t>
            </w:r>
            <w:proofErr w:type="spellStart"/>
            <w:r w:rsidR="00296DA5" w:rsidRPr="00662CBC">
              <w:t>kaitseväeteenistuse</w:t>
            </w:r>
            <w:proofErr w:type="spellEnd"/>
            <w:r w:rsidR="00296DA5" w:rsidRPr="00662CBC">
              <w:t xml:space="preserve"> </w:t>
            </w:r>
            <w:proofErr w:type="spellStart"/>
            <w:r w:rsidR="00296DA5" w:rsidRPr="00662CBC">
              <w:t>osalemise</w:t>
            </w:r>
            <w:proofErr w:type="spellEnd"/>
            <w:r w:rsidR="00296DA5" w:rsidRPr="00662CBC">
              <w:t xml:space="preserve"> </w:t>
            </w:r>
            <w:proofErr w:type="spellStart"/>
            <w:r w:rsidR="00296DA5" w:rsidRPr="00662CBC">
              <w:t>võimaluste</w:t>
            </w:r>
            <w:proofErr w:type="spellEnd"/>
            <w:r w:rsidR="00296DA5" w:rsidRPr="00662CBC">
              <w:t xml:space="preserve"> </w:t>
            </w:r>
            <w:proofErr w:type="spellStart"/>
            <w:r w:rsidR="00296DA5" w:rsidRPr="00662CBC">
              <w:t>suurendamiseks</w:t>
            </w:r>
            <w:proofErr w:type="spellEnd"/>
            <w:r w:rsidR="00296DA5" w:rsidRPr="00662CBC">
              <w:t xml:space="preserve">’) aims at addressing obstacles women face in </w:t>
            </w:r>
            <w:r w:rsidR="0032385A" w:rsidRPr="00662CBC">
              <w:t xml:space="preserve">the </w:t>
            </w:r>
            <w:proofErr w:type="spellStart"/>
            <w:r w:rsidR="0032385A" w:rsidRPr="00662CBC">
              <w:t>Defence</w:t>
            </w:r>
            <w:proofErr w:type="spellEnd"/>
            <w:r w:rsidR="0032385A" w:rsidRPr="00662CBC">
              <w:t xml:space="preserve"> Forces</w:t>
            </w:r>
          </w:p>
          <w:p w14:paraId="0B335314" w14:textId="77777777" w:rsidR="0039051B" w:rsidRDefault="00B85639" w:rsidP="00296DA5">
            <w:pPr>
              <w:spacing w:before="0" w:after="0"/>
            </w:pPr>
            <w:r>
              <w:t>‘</w:t>
            </w:r>
            <w:r w:rsidR="0039051B" w:rsidRPr="00662CBC">
              <w:t xml:space="preserve">It is important to continue the effective and consistent implementation of the document ‘Policy for Increasing the Opportunities for Women’s Participation in the </w:t>
            </w:r>
            <w:proofErr w:type="spellStart"/>
            <w:r w:rsidR="0039051B" w:rsidRPr="00662CBC">
              <w:t>Defence</w:t>
            </w:r>
            <w:proofErr w:type="spellEnd"/>
            <w:r w:rsidR="0039051B" w:rsidRPr="00662CBC">
              <w:t xml:space="preserve"> Forces’ (‘</w:t>
            </w:r>
            <w:proofErr w:type="spellStart"/>
            <w:r w:rsidR="0039051B" w:rsidRPr="00662CBC">
              <w:rPr>
                <w:i/>
                <w:iCs/>
              </w:rPr>
              <w:t>Poliitika</w:t>
            </w:r>
            <w:proofErr w:type="spellEnd"/>
            <w:r w:rsidR="0039051B" w:rsidRPr="00662CBC">
              <w:rPr>
                <w:i/>
                <w:iCs/>
              </w:rPr>
              <w:t xml:space="preserve"> </w:t>
            </w:r>
            <w:proofErr w:type="spellStart"/>
            <w:r w:rsidR="0039051B" w:rsidRPr="00662CBC">
              <w:rPr>
                <w:i/>
                <w:iCs/>
              </w:rPr>
              <w:t>naiste</w:t>
            </w:r>
            <w:proofErr w:type="spellEnd"/>
            <w:r w:rsidR="0039051B" w:rsidRPr="00662CBC">
              <w:rPr>
                <w:i/>
                <w:iCs/>
              </w:rPr>
              <w:t xml:space="preserve"> </w:t>
            </w:r>
            <w:proofErr w:type="spellStart"/>
            <w:r w:rsidR="0039051B" w:rsidRPr="00662CBC">
              <w:rPr>
                <w:i/>
                <w:iCs/>
              </w:rPr>
              <w:t>kaitseväeteenistuse</w:t>
            </w:r>
            <w:proofErr w:type="spellEnd"/>
            <w:r w:rsidR="0039051B" w:rsidRPr="00662CBC">
              <w:rPr>
                <w:i/>
                <w:iCs/>
              </w:rPr>
              <w:t xml:space="preserve"> </w:t>
            </w:r>
            <w:proofErr w:type="spellStart"/>
            <w:r w:rsidR="0039051B" w:rsidRPr="00662CBC">
              <w:rPr>
                <w:i/>
                <w:iCs/>
              </w:rPr>
              <w:t>osalemise</w:t>
            </w:r>
            <w:proofErr w:type="spellEnd"/>
            <w:r w:rsidR="0039051B" w:rsidRPr="00662CBC">
              <w:rPr>
                <w:i/>
                <w:iCs/>
              </w:rPr>
              <w:t xml:space="preserve"> </w:t>
            </w:r>
            <w:proofErr w:type="spellStart"/>
            <w:r w:rsidR="0039051B" w:rsidRPr="00662CBC">
              <w:rPr>
                <w:i/>
                <w:iCs/>
              </w:rPr>
              <w:t>võimaluste</w:t>
            </w:r>
            <w:proofErr w:type="spellEnd"/>
            <w:r w:rsidR="0039051B" w:rsidRPr="00662CBC">
              <w:rPr>
                <w:i/>
                <w:iCs/>
              </w:rPr>
              <w:t xml:space="preserve"> </w:t>
            </w:r>
            <w:proofErr w:type="spellStart"/>
            <w:r w:rsidR="0039051B" w:rsidRPr="00662CBC">
              <w:rPr>
                <w:i/>
                <w:iCs/>
              </w:rPr>
              <w:t>suurendamiseks</w:t>
            </w:r>
            <w:proofErr w:type="spellEnd"/>
            <w:r w:rsidR="0039051B" w:rsidRPr="00662CBC">
              <w:rPr>
                <w:i/>
                <w:iCs/>
              </w:rPr>
              <w:t>’</w:t>
            </w:r>
            <w:r w:rsidR="0039051B" w:rsidRPr="00662CBC">
              <w:t xml:space="preserve">) and the ongoing </w:t>
            </w:r>
            <w:r w:rsidR="0039051B" w:rsidRPr="00662CBC">
              <w:lastRenderedPageBreak/>
              <w:t>campaign ‘Women in Uniform’ (‘</w:t>
            </w:r>
            <w:proofErr w:type="spellStart"/>
            <w:r w:rsidR="0039051B" w:rsidRPr="00662CBC">
              <w:rPr>
                <w:i/>
                <w:iCs/>
              </w:rPr>
              <w:t>Naised</w:t>
            </w:r>
            <w:proofErr w:type="spellEnd"/>
            <w:r w:rsidR="0039051B" w:rsidRPr="00662CBC">
              <w:rPr>
                <w:i/>
                <w:iCs/>
              </w:rPr>
              <w:t xml:space="preserve"> </w:t>
            </w:r>
            <w:proofErr w:type="spellStart"/>
            <w:r w:rsidR="0039051B" w:rsidRPr="00662CBC">
              <w:rPr>
                <w:i/>
                <w:iCs/>
              </w:rPr>
              <w:t>vormi</w:t>
            </w:r>
            <w:proofErr w:type="spellEnd"/>
            <w:r w:rsidR="0039051B" w:rsidRPr="00662CBC">
              <w:rPr>
                <w:i/>
                <w:iCs/>
              </w:rPr>
              <w:t>’</w:t>
            </w:r>
            <w:r w:rsidR="0039051B" w:rsidRPr="00662CBC">
              <w:t>) of the Ministry of the Interior.</w:t>
            </w:r>
            <w:r w:rsidR="003B0654" w:rsidRPr="00662CBC">
              <w:t xml:space="preserve"> […] The ‘Action Plan for Participation in International Civilian Missions 2020–2024’ (‘</w:t>
            </w:r>
            <w:proofErr w:type="spellStart"/>
            <w:r w:rsidR="003B0654" w:rsidRPr="00662CBC">
              <w:rPr>
                <w:i/>
                <w:iCs/>
              </w:rPr>
              <w:t>Rahvusvahelistel</w:t>
            </w:r>
            <w:proofErr w:type="spellEnd"/>
            <w:r w:rsidR="003B0654" w:rsidRPr="00662CBC">
              <w:rPr>
                <w:i/>
                <w:iCs/>
              </w:rPr>
              <w:t xml:space="preserve"> </w:t>
            </w:r>
            <w:proofErr w:type="spellStart"/>
            <w:r w:rsidR="003B0654" w:rsidRPr="00662CBC">
              <w:rPr>
                <w:i/>
                <w:iCs/>
              </w:rPr>
              <w:t>tsiviilmissioonidel</w:t>
            </w:r>
            <w:proofErr w:type="spellEnd"/>
            <w:r w:rsidR="003B0654" w:rsidRPr="00662CBC">
              <w:rPr>
                <w:i/>
                <w:iCs/>
              </w:rPr>
              <w:t xml:space="preserve"> </w:t>
            </w:r>
            <w:proofErr w:type="spellStart"/>
            <w:r w:rsidR="003B0654" w:rsidRPr="00662CBC">
              <w:rPr>
                <w:i/>
                <w:iCs/>
              </w:rPr>
              <w:t>osalemise</w:t>
            </w:r>
            <w:proofErr w:type="spellEnd"/>
            <w:r w:rsidR="003B0654" w:rsidRPr="00662CBC">
              <w:rPr>
                <w:i/>
                <w:iCs/>
              </w:rPr>
              <w:t xml:space="preserve"> </w:t>
            </w:r>
            <w:proofErr w:type="spellStart"/>
            <w:r w:rsidR="003B0654" w:rsidRPr="00662CBC">
              <w:rPr>
                <w:i/>
                <w:iCs/>
              </w:rPr>
              <w:t>tegevuskava</w:t>
            </w:r>
            <w:proofErr w:type="spellEnd"/>
            <w:r w:rsidR="003B0654" w:rsidRPr="00662CBC">
              <w:rPr>
                <w:i/>
                <w:iCs/>
              </w:rPr>
              <w:t xml:space="preserve"> 2020–2024’</w:t>
            </w:r>
            <w:r w:rsidR="003B0654" w:rsidRPr="00662CBC">
              <w:t>) sets the goal of increasing the share of female experts (in 2020, the share of women among Estonian civilian experts was 23%).”</w:t>
            </w:r>
            <w:r w:rsidR="00413ABE" w:rsidRPr="005D2F5A">
              <w:rPr>
                <w:rStyle w:val="FootnoteReference"/>
              </w:rPr>
              <w:footnoteReference w:id="118"/>
            </w:r>
          </w:p>
          <w:p w14:paraId="63019103" w14:textId="77777777" w:rsidR="006E5DE4" w:rsidRDefault="00C8589A" w:rsidP="0045742F">
            <w:r w:rsidRPr="00025EAB">
              <w:t>“In 2017 the Ministry of Defence introduced new policies to broaden gender perspectives and to enhance service possibilities for women in the EDF. Notably, the policy enabled women conscripts to join the same units as men. Furthermore, the policies lay out numerous initiatives to spread awareness about the military service careers, opportunities, and conditions; to improve the working environment and equal treatment in the EDF; and to conduct regular monitoring and analysis of feedback.</w:t>
            </w:r>
            <w:r>
              <w:br/>
            </w:r>
            <w:r w:rsidRPr="00025EAB">
              <w:t xml:space="preserve">As a result of this policy, a special recruiting campaign named </w:t>
            </w:r>
            <w:r w:rsidRPr="00025EAB">
              <w:lastRenderedPageBreak/>
              <w:t>“Naised Vormi” was pursued for the first time in Estonia to recruit more women to conscript service. The funds for the campaign were allocated by the Ministry of Defence. By the end of 2017, the share of women among the active members of the EDF was 10% in positions of commanding officer and specialised positions alike.”</w:t>
            </w:r>
            <w:r>
              <w:rPr>
                <w:rStyle w:val="FootnoteReference"/>
              </w:rPr>
              <w:footnoteReference w:id="119"/>
            </w:r>
          </w:p>
          <w:p w14:paraId="492FD56C" w14:textId="0F0C7A40" w:rsidR="007568F5" w:rsidRPr="00662CBC" w:rsidRDefault="007568F5" w:rsidP="0045742F"/>
        </w:tc>
        <w:tc>
          <w:tcPr>
            <w:tcW w:w="949" w:type="pct"/>
            <w:shd w:val="clear" w:color="auto" w:fill="auto"/>
          </w:tcPr>
          <w:p w14:paraId="76C338E1" w14:textId="77777777" w:rsidR="0028135F" w:rsidRPr="00662CBC" w:rsidRDefault="0028135F" w:rsidP="0028135F">
            <w:pPr>
              <w:rPr>
                <w:b/>
                <w:bCs/>
              </w:rPr>
            </w:pPr>
            <w:r w:rsidRPr="00662CBC">
              <w:rPr>
                <w:b/>
                <w:bCs/>
              </w:rPr>
              <w:lastRenderedPageBreak/>
              <w:t xml:space="preserve">Compulsory military for men, voluntary for women </w:t>
            </w:r>
          </w:p>
          <w:p w14:paraId="121AA07D" w14:textId="45955371" w:rsidR="0028135F" w:rsidRPr="00662CBC" w:rsidRDefault="0028135F" w:rsidP="002E365B">
            <w:r w:rsidRPr="00662CBC">
              <w:t>“18-27 for compulsory military or governmental service for men; conscript service requirement 8-11 months depending on education; non-commissioned officers, reserve officers, and specialists serve 11 months; women can volunteer, and as of 2018 could serve in any military branch (2022)</w:t>
            </w:r>
            <w:r w:rsidRPr="00662CBC">
              <w:br/>
            </w:r>
            <w:r w:rsidRPr="00662CBC">
              <w:rPr>
                <w:b/>
                <w:bCs/>
              </w:rPr>
              <w:t>note 1</w:t>
            </w:r>
            <w:r w:rsidRPr="00662CBC">
              <w:t>: conscripts comprise approximately 3,000-3,300 of the Estonian military's 7,000 active duty personnel and serve in all branches, except for the Air Force, which does not have conscripts; after conscript service, reservists are called up for training every 5 years; Estonia has had conscription since 1991</w:t>
            </w:r>
            <w:r w:rsidRPr="00662CBC">
              <w:br/>
            </w:r>
            <w:r w:rsidRPr="00662CBC">
              <w:rPr>
                <w:b/>
                <w:bCs/>
              </w:rPr>
              <w:t>note 2</w:t>
            </w:r>
            <w:r w:rsidRPr="00662CBC">
              <w:t>: the Estonian Defense Forces rely largely on reservists who have completed compulsory conscription in the previous 10 years to fill out its active duty and Territorial Defense units during a crisis; a total of approximately 230,000 Estonians are enrolled in the mobilization registry</w:t>
            </w:r>
            <w:r w:rsidRPr="00662CBC">
              <w:br/>
            </w:r>
            <w:r w:rsidRPr="00662CBC">
              <w:rPr>
                <w:b/>
                <w:bCs/>
              </w:rPr>
              <w:lastRenderedPageBreak/>
              <w:t>note 3</w:t>
            </w:r>
            <w:r w:rsidRPr="00662CBC">
              <w:t>: in 2020, women comprised about 10% of the full-time professional military force”</w:t>
            </w:r>
            <w:r w:rsidR="002E365B" w:rsidRPr="00662CBC">
              <w:rPr>
                <w:rStyle w:val="FootnoteReference"/>
              </w:rPr>
              <w:t xml:space="preserve"> </w:t>
            </w:r>
            <w:r w:rsidR="002E365B" w:rsidRPr="005D2F5A">
              <w:rPr>
                <w:rStyle w:val="FootnoteReference"/>
              </w:rPr>
              <w:footnoteReference w:id="120"/>
            </w:r>
          </w:p>
          <w:p w14:paraId="0CAEE9AD" w14:textId="77777777" w:rsidR="002E365B" w:rsidRPr="00662CBC" w:rsidRDefault="002E365B" w:rsidP="002E365B"/>
          <w:p w14:paraId="228BA870" w14:textId="6D1E999F" w:rsidR="0028135F" w:rsidRPr="00662CBC" w:rsidRDefault="00000000" w:rsidP="0028135F">
            <w:hyperlink r:id="rId41" w:history="1">
              <w:r w:rsidR="0028135F" w:rsidRPr="00662CBC">
                <w:rPr>
                  <w:rStyle w:val="Hyperlink"/>
                </w:rPr>
                <w:t>Military Service Act</w:t>
              </w:r>
            </w:hyperlink>
            <w:r w:rsidR="0028135F" w:rsidRPr="00662CBC">
              <w:t xml:space="preserve"> </w:t>
            </w:r>
          </w:p>
          <w:p w14:paraId="62C9A009" w14:textId="77777777" w:rsidR="0028135F" w:rsidRPr="00662CBC" w:rsidRDefault="0028135F" w:rsidP="0028135F">
            <w:r w:rsidRPr="00662CBC">
              <w:rPr>
                <w:b/>
                <w:bCs/>
              </w:rPr>
              <w:t xml:space="preserve">“§5 Performance of mandatory duty to serve in </w:t>
            </w:r>
            <w:proofErr w:type="spellStart"/>
            <w:r w:rsidRPr="00662CBC">
              <w:rPr>
                <w:b/>
                <w:bCs/>
              </w:rPr>
              <w:t>Defence</w:t>
            </w:r>
            <w:proofErr w:type="spellEnd"/>
            <w:r w:rsidRPr="00662CBC">
              <w:rPr>
                <w:b/>
                <w:bCs/>
              </w:rPr>
              <w:t xml:space="preserve"> Forces </w:t>
            </w:r>
            <w:r w:rsidRPr="00662CBC">
              <w:rPr>
                <w:b/>
                <w:bCs/>
              </w:rPr>
              <w:br/>
            </w:r>
            <w:r w:rsidRPr="00662CBC">
              <w:t xml:space="preserve">(2) Conscript service is the performance of the mandatory duty to serve in the </w:t>
            </w:r>
            <w:proofErr w:type="spellStart"/>
            <w:r w:rsidRPr="00662CBC">
              <w:t>Defence</w:t>
            </w:r>
            <w:proofErr w:type="spellEnd"/>
            <w:r w:rsidRPr="00662CBC">
              <w:t xml:space="preserve"> Forces of a male person liable to national </w:t>
            </w:r>
            <w:proofErr w:type="spellStart"/>
            <w:r w:rsidRPr="00662CBC">
              <w:t>defence</w:t>
            </w:r>
            <w:proofErr w:type="spellEnd"/>
            <w:r w:rsidRPr="00662CBC">
              <w:t xml:space="preserve"> obligation and the voluntary entering military service of a female person, and the completion thereof with the purpose to acquire military training. A person in conscript service is a conscript.</w:t>
            </w:r>
          </w:p>
          <w:p w14:paraId="6C0D60D1" w14:textId="77777777" w:rsidR="0028135F" w:rsidRPr="00662CBC" w:rsidRDefault="0028135F" w:rsidP="0028135F">
            <w:r w:rsidRPr="00662CBC">
              <w:rPr>
                <w:b/>
                <w:bCs/>
              </w:rPr>
              <w:t>§ 82.  Conscript service of female person</w:t>
            </w:r>
            <w:r w:rsidRPr="00662CBC">
              <w:t>”</w:t>
            </w:r>
            <w:r w:rsidRPr="005D2F5A">
              <w:rPr>
                <w:rStyle w:val="FootnoteReference"/>
              </w:rPr>
              <w:footnoteReference w:id="121"/>
            </w:r>
          </w:p>
          <w:p w14:paraId="1A08D8E5" w14:textId="0FDDD77A" w:rsidR="004116DF" w:rsidRPr="00662CBC" w:rsidRDefault="004116DF" w:rsidP="00DB5430"/>
        </w:tc>
        <w:tc>
          <w:tcPr>
            <w:tcW w:w="677" w:type="pct"/>
            <w:shd w:val="clear" w:color="auto" w:fill="auto"/>
          </w:tcPr>
          <w:p w14:paraId="7FCBFDFC" w14:textId="5CDF77C7" w:rsidR="006F2683" w:rsidRPr="00662CBC" w:rsidRDefault="00000000" w:rsidP="00DB5430">
            <w:pPr>
              <w:rPr>
                <w:b/>
                <w:bCs/>
              </w:rPr>
            </w:pPr>
            <w:hyperlink r:id="rId42" w:history="1">
              <w:r w:rsidR="006F2683" w:rsidRPr="009E64F2">
                <w:rPr>
                  <w:rStyle w:val="Hyperlink"/>
                  <w:b/>
                  <w:bCs/>
                </w:rPr>
                <w:t>NAP 2010-2014</w:t>
              </w:r>
            </w:hyperlink>
          </w:p>
          <w:p w14:paraId="7EBF32B6" w14:textId="365B2D7E" w:rsidR="006F2683" w:rsidRPr="00662CBC" w:rsidRDefault="00000000" w:rsidP="00DB5430">
            <w:pPr>
              <w:rPr>
                <w:b/>
                <w:bCs/>
              </w:rPr>
            </w:pPr>
            <w:hyperlink r:id="rId43" w:history="1">
              <w:r w:rsidR="006F2683" w:rsidRPr="009E64F2">
                <w:rPr>
                  <w:rStyle w:val="Hyperlink"/>
                  <w:b/>
                  <w:bCs/>
                </w:rPr>
                <w:t>NAP 2015-2019</w:t>
              </w:r>
            </w:hyperlink>
            <w:r w:rsidR="006F2683" w:rsidRPr="00662CBC">
              <w:rPr>
                <w:b/>
                <w:bCs/>
              </w:rPr>
              <w:t xml:space="preserve"> </w:t>
            </w:r>
          </w:p>
          <w:p w14:paraId="7CE840B6" w14:textId="55C0C0D0" w:rsidR="004116DF" w:rsidRPr="00662CBC" w:rsidRDefault="00000000" w:rsidP="00DB5430">
            <w:pPr>
              <w:rPr>
                <w:b/>
                <w:bCs/>
              </w:rPr>
            </w:pPr>
            <w:hyperlink r:id="rId44" w:history="1">
              <w:r w:rsidR="00B31D62" w:rsidRPr="00ED27AE">
                <w:rPr>
                  <w:rStyle w:val="Hyperlink"/>
                  <w:b/>
                  <w:bCs/>
                </w:rPr>
                <w:t>NAP 2020-2025</w:t>
              </w:r>
            </w:hyperlink>
            <w:r w:rsidR="002E365B" w:rsidRPr="005D2F5A">
              <w:rPr>
                <w:rStyle w:val="FootnoteReference"/>
              </w:rPr>
              <w:footnoteReference w:id="122"/>
            </w:r>
          </w:p>
          <w:p w14:paraId="3A220017" w14:textId="77777777" w:rsidR="0032385A" w:rsidRPr="00662CBC" w:rsidRDefault="004F636F" w:rsidP="0032385A">
            <w:pPr>
              <w:pStyle w:val="ListParagraph"/>
              <w:numPr>
                <w:ilvl w:val="0"/>
                <w:numId w:val="17"/>
              </w:numPr>
              <w:ind w:left="313"/>
            </w:pPr>
            <w:r w:rsidRPr="00662CBC">
              <w:rPr>
                <w:b/>
                <w:bCs/>
              </w:rPr>
              <w:t xml:space="preserve">Action Plan for Participation in International Civilian Missions 2020–2024’ </w:t>
            </w:r>
            <w:r w:rsidRPr="00662CBC">
              <w:t>(‘</w:t>
            </w:r>
            <w:proofErr w:type="spellStart"/>
            <w:r w:rsidRPr="00662CBC">
              <w:rPr>
                <w:i/>
                <w:iCs/>
              </w:rPr>
              <w:t>Rahvusvahelistel</w:t>
            </w:r>
            <w:proofErr w:type="spellEnd"/>
            <w:r w:rsidRPr="00662CBC">
              <w:rPr>
                <w:i/>
                <w:iCs/>
              </w:rPr>
              <w:t xml:space="preserve"> </w:t>
            </w:r>
            <w:proofErr w:type="spellStart"/>
            <w:r w:rsidRPr="00662CBC">
              <w:rPr>
                <w:i/>
                <w:iCs/>
              </w:rPr>
              <w:t>tsiviilmissioonidel</w:t>
            </w:r>
            <w:proofErr w:type="spellEnd"/>
            <w:r w:rsidRPr="00662CBC">
              <w:rPr>
                <w:i/>
                <w:iCs/>
              </w:rPr>
              <w:t xml:space="preserve"> </w:t>
            </w:r>
            <w:proofErr w:type="spellStart"/>
            <w:r w:rsidRPr="00662CBC">
              <w:rPr>
                <w:i/>
                <w:iCs/>
              </w:rPr>
              <w:t>osalemise</w:t>
            </w:r>
            <w:proofErr w:type="spellEnd"/>
            <w:r w:rsidRPr="00662CBC">
              <w:rPr>
                <w:i/>
                <w:iCs/>
              </w:rPr>
              <w:t xml:space="preserve"> </w:t>
            </w:r>
            <w:proofErr w:type="spellStart"/>
            <w:r w:rsidRPr="00662CBC">
              <w:rPr>
                <w:i/>
                <w:iCs/>
              </w:rPr>
              <w:t>tegevuskava</w:t>
            </w:r>
            <w:proofErr w:type="spellEnd"/>
            <w:r w:rsidRPr="00662CBC">
              <w:t>)</w:t>
            </w:r>
            <w:r w:rsidRPr="00662CBC">
              <w:rPr>
                <w:b/>
                <w:bCs/>
              </w:rPr>
              <w:t xml:space="preserve"> 2020–2024’</w:t>
            </w:r>
          </w:p>
          <w:p w14:paraId="7CE9D884" w14:textId="30D6EC10" w:rsidR="0032385A" w:rsidRPr="00662CBC" w:rsidRDefault="00F86C1E" w:rsidP="0032385A">
            <w:pPr>
              <w:pStyle w:val="ListParagraph"/>
              <w:numPr>
                <w:ilvl w:val="0"/>
                <w:numId w:val="17"/>
              </w:numPr>
              <w:ind w:left="313"/>
            </w:pPr>
            <w:r w:rsidRPr="00662CBC">
              <w:rPr>
                <w:b/>
                <w:bCs/>
              </w:rPr>
              <w:t xml:space="preserve">Policy for Increasing the Opportunities for Women’s Participation in the </w:t>
            </w:r>
            <w:proofErr w:type="spellStart"/>
            <w:r w:rsidRPr="00662CBC">
              <w:rPr>
                <w:b/>
                <w:bCs/>
              </w:rPr>
              <w:t>Defence</w:t>
            </w:r>
            <w:proofErr w:type="spellEnd"/>
            <w:r w:rsidRPr="00662CBC">
              <w:rPr>
                <w:b/>
                <w:bCs/>
              </w:rPr>
              <w:t xml:space="preserve"> Forces</w:t>
            </w:r>
            <w:r w:rsidRPr="00662CBC">
              <w:t xml:space="preserve"> (‘</w:t>
            </w:r>
            <w:proofErr w:type="spellStart"/>
            <w:r w:rsidRPr="00662CBC">
              <w:rPr>
                <w:i/>
                <w:iCs/>
              </w:rPr>
              <w:t>Poliitika</w:t>
            </w:r>
            <w:proofErr w:type="spellEnd"/>
            <w:r w:rsidRPr="00662CBC">
              <w:rPr>
                <w:i/>
                <w:iCs/>
              </w:rPr>
              <w:t xml:space="preserve"> </w:t>
            </w:r>
            <w:proofErr w:type="spellStart"/>
            <w:r w:rsidRPr="00662CBC">
              <w:rPr>
                <w:i/>
                <w:iCs/>
              </w:rPr>
              <w:t>naiste</w:t>
            </w:r>
            <w:proofErr w:type="spellEnd"/>
            <w:r w:rsidRPr="00662CBC">
              <w:rPr>
                <w:i/>
                <w:iCs/>
              </w:rPr>
              <w:t xml:space="preserve"> </w:t>
            </w:r>
            <w:proofErr w:type="spellStart"/>
            <w:r w:rsidRPr="00662CBC">
              <w:rPr>
                <w:i/>
                <w:iCs/>
              </w:rPr>
              <w:t>kaitseväeteenistuse</w:t>
            </w:r>
            <w:proofErr w:type="spellEnd"/>
            <w:r w:rsidRPr="00662CBC">
              <w:rPr>
                <w:i/>
                <w:iCs/>
              </w:rPr>
              <w:t xml:space="preserve"> </w:t>
            </w:r>
            <w:proofErr w:type="spellStart"/>
            <w:r w:rsidRPr="00662CBC">
              <w:rPr>
                <w:i/>
                <w:iCs/>
              </w:rPr>
              <w:t>osalemise</w:t>
            </w:r>
            <w:proofErr w:type="spellEnd"/>
            <w:r w:rsidRPr="00662CBC">
              <w:rPr>
                <w:i/>
                <w:iCs/>
              </w:rPr>
              <w:t xml:space="preserve"> </w:t>
            </w:r>
            <w:proofErr w:type="spellStart"/>
            <w:r w:rsidRPr="00662CBC">
              <w:rPr>
                <w:i/>
                <w:iCs/>
              </w:rPr>
              <w:t>võimaluste</w:t>
            </w:r>
            <w:proofErr w:type="spellEnd"/>
            <w:r w:rsidRPr="00662CBC">
              <w:rPr>
                <w:i/>
                <w:iCs/>
              </w:rPr>
              <w:t xml:space="preserve"> </w:t>
            </w:r>
            <w:proofErr w:type="spellStart"/>
            <w:r w:rsidRPr="00662CBC">
              <w:rPr>
                <w:i/>
                <w:iCs/>
              </w:rPr>
              <w:t>suurendamiseks</w:t>
            </w:r>
            <w:proofErr w:type="spellEnd"/>
            <w:r w:rsidRPr="00662CBC">
              <w:rPr>
                <w:i/>
                <w:iCs/>
              </w:rPr>
              <w:t>’</w:t>
            </w:r>
            <w:r w:rsidRPr="00662CBC">
              <w:t>)</w:t>
            </w:r>
            <w:r w:rsidR="00F635C1" w:rsidRPr="00662CBC">
              <w:t xml:space="preserve"> (2017)</w:t>
            </w:r>
          </w:p>
          <w:p w14:paraId="4B1B7C21" w14:textId="52CDB415" w:rsidR="00F86C1E" w:rsidRPr="00662CBC" w:rsidRDefault="00F86C1E" w:rsidP="00F86C1E">
            <w:r w:rsidRPr="00662CBC">
              <w:t xml:space="preserve">None of these seem to have specific quotas </w:t>
            </w:r>
          </w:p>
        </w:tc>
      </w:tr>
      <w:tr w:rsidR="005A7203" w:rsidRPr="00662CBC" w14:paraId="3A7714B9" w14:textId="77777777" w:rsidTr="00F37D6B">
        <w:tc>
          <w:tcPr>
            <w:tcW w:w="139" w:type="pct"/>
            <w:shd w:val="clear" w:color="auto" w:fill="auto"/>
          </w:tcPr>
          <w:p w14:paraId="5F218C71"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2515A6FD" w14:textId="77777777" w:rsidR="004116DF" w:rsidRPr="00662CBC" w:rsidRDefault="004116DF" w:rsidP="006064D6">
            <w:pPr>
              <w:pStyle w:val="Heading3"/>
            </w:pPr>
            <w:bookmarkStart w:id="19" w:name="_Toc132806703"/>
            <w:r w:rsidRPr="00662CBC">
              <w:t>Finland</w:t>
            </w:r>
            <w:bookmarkEnd w:id="19"/>
            <w:r w:rsidRPr="00662CBC">
              <w:t xml:space="preserve"> </w:t>
            </w:r>
          </w:p>
          <w:p w14:paraId="4AB40CE1" w14:textId="77777777" w:rsidR="004116DF" w:rsidRPr="00662CBC" w:rsidRDefault="004116DF" w:rsidP="006064D6">
            <w:pPr>
              <w:rPr>
                <w:b/>
                <w:bCs/>
                <w:szCs w:val="20"/>
              </w:rPr>
            </w:pPr>
          </w:p>
        </w:tc>
        <w:tc>
          <w:tcPr>
            <w:tcW w:w="855" w:type="pct"/>
            <w:shd w:val="clear" w:color="auto" w:fill="auto"/>
          </w:tcPr>
          <w:p w14:paraId="0DC5D63B" w14:textId="7CAEDAB2" w:rsidR="004116DF" w:rsidRPr="00662CBC" w:rsidRDefault="004116DF" w:rsidP="00714158">
            <w:r w:rsidRPr="00662CBC">
              <w:t>s. NDC submitted by EU</w:t>
            </w:r>
          </w:p>
        </w:tc>
        <w:tc>
          <w:tcPr>
            <w:tcW w:w="1023" w:type="pct"/>
            <w:shd w:val="clear" w:color="auto" w:fill="auto"/>
          </w:tcPr>
          <w:p w14:paraId="6CB059BA" w14:textId="7C555845" w:rsidR="004116DF" w:rsidRDefault="004116DF" w:rsidP="00714158">
            <w:pPr>
              <w:rPr>
                <w:b/>
                <w:bCs/>
              </w:rPr>
            </w:pPr>
            <w:r w:rsidRPr="00662CBC">
              <w:rPr>
                <w:b/>
                <w:bCs/>
              </w:rPr>
              <w:t xml:space="preserve">No legislated quotas </w:t>
            </w:r>
          </w:p>
          <w:p w14:paraId="71284F6A" w14:textId="18FD4D2C" w:rsidR="005321C3" w:rsidRPr="005321C3" w:rsidRDefault="005321C3" w:rsidP="00714158">
            <w:r>
              <w:rPr>
                <w:b/>
                <w:bCs/>
              </w:rPr>
              <w:t xml:space="preserve">Note: </w:t>
            </w:r>
            <w:r>
              <w:t xml:space="preserve">the actual number of women in the foreign service is high but there are some </w:t>
            </w:r>
            <w:r w:rsidRPr="005321C3">
              <w:rPr>
                <w:b/>
                <w:bCs/>
              </w:rPr>
              <w:t>structural issues</w:t>
            </w:r>
            <w:r w:rsidRPr="005321C3">
              <w:t>:</w:t>
            </w:r>
          </w:p>
          <w:p w14:paraId="11907CB6" w14:textId="77777777" w:rsidR="004116DF" w:rsidRDefault="004116DF" w:rsidP="00416C48">
            <w:r w:rsidRPr="00662CBC">
              <w:t xml:space="preserve">"Women make up a large proportion of the Ministry’s staff: in leadership positions (50%), managerial roles (60%), expert roles (67%) and support roles (76%) (figures for 2022). The number of women in leadership positions has risen steadily over the last 15 years. In 2008, only 30% of the Ministry’s leadership roles were held by women. By 2018, gender parity was reached in the Ministry’s leadership, an important achievement </w:t>
            </w:r>
            <w:r w:rsidRPr="00662CBC">
              <w:lastRenderedPageBreak/>
              <w:t>in international comparison, after which growth has plateaued. Each intake of new diplomats typically includes 60–70% women. Men are thus a clear minority in support, advisory and junior diplomatic roles, whereas they make up about half of all managerial and leadership roles.</w:t>
            </w:r>
            <w:r w:rsidRPr="00662CBC">
              <w:br/>
              <w:t>[…] </w:t>
            </w:r>
            <w:r w:rsidRPr="00662CBC">
              <w:br/>
              <w:t xml:space="preserve">The diplomatic rotation cycle may be challenging to combine with care responsibilities. The Ministry aims to promote work-life balance and has recently seen an increase in men taking parental leave. However, it is not possible to take family leave while posted overseas without ending the posting. This may affect the extent to which men and women in the diplomatic rotation take advantage of family leave policies, given that men’s parental leave is typically shorter and more optional than women’s and thus may provide less of an incentive to cut a diplomatic posting short. Some of our interviewees noted concerns that while women are now well represented throughout most of the </w:t>
            </w:r>
            <w:proofErr w:type="spellStart"/>
            <w:r w:rsidRPr="00662CBC">
              <w:t>organisation</w:t>
            </w:r>
            <w:proofErr w:type="spellEnd"/>
            <w:r w:rsidRPr="00662CBC">
              <w:t xml:space="preserve">, not enough attention has been paid to the pace at which men and women progress in their career paths or the perceived importance of </w:t>
            </w:r>
            <w:r w:rsidRPr="00662CBC">
              <w:lastRenderedPageBreak/>
              <w:t>ambassadorial appointments. The overall statistics do not give differential weighing to ambassadorial positions in different locales, with considerably varied career prospects and prestige. Based on the data we have, it is impossible to estimate forms of representation other than that of gender, such as representation of ethnic minorities and the efforts undertaken to provide people with disabilities equal opportunities to aim for diplomatic careers.”</w:t>
            </w:r>
            <w:r w:rsidR="00EA6D3F" w:rsidRPr="00662CBC">
              <w:rPr>
                <w:rStyle w:val="FootnoteReference"/>
              </w:rPr>
              <w:t xml:space="preserve"> </w:t>
            </w:r>
            <w:r w:rsidR="00EA6D3F" w:rsidRPr="005D2F5A">
              <w:rPr>
                <w:rStyle w:val="FootnoteReference"/>
              </w:rPr>
              <w:footnoteReference w:id="123"/>
            </w:r>
          </w:p>
          <w:p w14:paraId="649067E0" w14:textId="77777777" w:rsidR="005F2362" w:rsidRDefault="005F2362" w:rsidP="00416C48"/>
          <w:p w14:paraId="12EDF28A" w14:textId="77777777" w:rsidR="005F2362" w:rsidRDefault="005F2362" w:rsidP="005F2362">
            <w:r w:rsidRPr="009043EC">
              <w:rPr>
                <w:b/>
                <w:bCs/>
              </w:rPr>
              <w:t>Concluding Observations</w:t>
            </w:r>
            <w:r>
              <w:rPr>
                <w:b/>
                <w:bCs/>
              </w:rPr>
              <w:t xml:space="preserve"> </w:t>
            </w:r>
            <w:r>
              <w:t>(2022):</w:t>
            </w:r>
          </w:p>
          <w:p w14:paraId="31A546B5" w14:textId="70AA962A" w:rsidR="005F2362" w:rsidRPr="00662CBC" w:rsidRDefault="005F2362" w:rsidP="005F2362">
            <w:r>
              <w:rPr>
                <w:b/>
                <w:bCs/>
              </w:rPr>
              <w:t>“</w:t>
            </w:r>
            <w:r w:rsidRPr="001E18D0">
              <w:rPr>
                <w:b/>
                <w:bCs/>
              </w:rPr>
              <w:t xml:space="preserve">Equal participation in political and public life </w:t>
            </w:r>
            <w:r>
              <w:br/>
            </w:r>
            <w:r w:rsidRPr="001E18D0">
              <w:t>27. The Committee welcomes the high percentage of women in the State party’s parliament (45.5 per cent), among the State party representatives in the European Parliament (57.1 per cent) and as ambassadors in the civil service (50 per cent).</w:t>
            </w:r>
            <w:r>
              <w:t>”</w:t>
            </w:r>
            <w:r>
              <w:rPr>
                <w:rStyle w:val="FootnoteReference"/>
              </w:rPr>
              <w:footnoteReference w:id="124"/>
            </w:r>
          </w:p>
        </w:tc>
        <w:tc>
          <w:tcPr>
            <w:tcW w:w="903" w:type="pct"/>
            <w:shd w:val="clear" w:color="auto" w:fill="auto"/>
          </w:tcPr>
          <w:p w14:paraId="2C9663FF" w14:textId="031E2297" w:rsidR="004116DF" w:rsidRPr="00662CBC" w:rsidRDefault="004F6A3C" w:rsidP="004F6A3C">
            <w:r w:rsidRPr="00662CBC">
              <w:rPr>
                <w:b/>
                <w:bCs/>
              </w:rPr>
              <w:lastRenderedPageBreak/>
              <w:t xml:space="preserve">No legislated quotas </w:t>
            </w:r>
          </w:p>
          <w:p w14:paraId="1C776642" w14:textId="6B62DB7C" w:rsidR="004F6A3C" w:rsidRPr="00662CBC" w:rsidRDefault="004F6A3C" w:rsidP="004F6A3C">
            <w:r w:rsidRPr="00662CBC">
              <w:rPr>
                <w:b/>
                <w:bCs/>
              </w:rPr>
              <w:t xml:space="preserve">CEDAW Concluding </w:t>
            </w:r>
            <w:r w:rsidR="00941C60" w:rsidRPr="00662CBC">
              <w:rPr>
                <w:b/>
                <w:bCs/>
              </w:rPr>
              <w:t>Observations</w:t>
            </w:r>
            <w:r w:rsidRPr="00662CBC">
              <w:t xml:space="preserve"> (2022):</w:t>
            </w:r>
          </w:p>
          <w:p w14:paraId="2B9ABD6E" w14:textId="77777777" w:rsidR="004F6A3C" w:rsidRPr="00662CBC" w:rsidRDefault="004F6A3C" w:rsidP="00326335">
            <w:pPr>
              <w:jc w:val="left"/>
            </w:pPr>
            <w:r w:rsidRPr="00662CBC">
              <w:t xml:space="preserve">“27. The Committee welcomes the high percentage of women in the State party’s parliament (45.5 per cent), among the State party representatives in the European Parliament (57.1 per cent) and as ambassadors in the civil service (50 per cent). The Committee notes with concern, however, that: </w:t>
            </w:r>
            <w:r w:rsidRPr="00662CBC">
              <w:br/>
              <w:t>[…] </w:t>
            </w:r>
            <w:r w:rsidRPr="00662CBC">
              <w:br/>
              <w:t xml:space="preserve">(d) Women are underrepresented in high-ranking roles in </w:t>
            </w:r>
            <w:r w:rsidRPr="00662CBC">
              <w:lastRenderedPageBreak/>
              <w:t xml:space="preserve">the </w:t>
            </w:r>
            <w:proofErr w:type="spellStart"/>
            <w:r w:rsidRPr="00662CBC">
              <w:t>defence</w:t>
            </w:r>
            <w:proofErr w:type="spellEnd"/>
            <w:r w:rsidRPr="00662CBC">
              <w:t xml:space="preserve"> forces.</w:t>
            </w:r>
            <w:r w:rsidRPr="00662CBC">
              <w:br/>
              <w:t xml:space="preserve">28. </w:t>
            </w:r>
            <w:r w:rsidRPr="00662CBC">
              <w:rPr>
                <w:b/>
                <w:bCs/>
              </w:rPr>
              <w:t>Reiterating its previous recommendations (CEDAW/C/FIN/CO/7, para. 23), and recalling its general recommendation No. 23 (1997) on women in political and public life and its general recommendation No. 25, the Committee recommends that the State party</w:t>
            </w:r>
            <w:r w:rsidRPr="00662CBC">
              <w:t xml:space="preserve">: </w:t>
            </w:r>
            <w:r w:rsidRPr="00662CBC">
              <w:br/>
              <w:t xml:space="preserve">(b) </w:t>
            </w:r>
            <w:r w:rsidRPr="00662CBC">
              <w:rPr>
                <w:b/>
                <w:bCs/>
              </w:rPr>
              <w:t xml:space="preserve">Put in place measures, including temporary special measures, to ensure that the representation of women in political and public life, and particularly in leadership positions, reflects the full diversity of the population; </w:t>
            </w:r>
            <w:r w:rsidRPr="00662CBC">
              <w:rPr>
                <w:b/>
                <w:bCs/>
              </w:rPr>
              <w:br/>
            </w:r>
            <w:r w:rsidRPr="00662CBC">
              <w:t xml:space="preserve">(c) </w:t>
            </w:r>
            <w:r w:rsidRPr="00662CBC">
              <w:rPr>
                <w:b/>
                <w:bCs/>
              </w:rPr>
              <w:t xml:space="preserve">Carry out awareness-raising activities, with a particular emphasis on the region of </w:t>
            </w:r>
            <w:proofErr w:type="spellStart"/>
            <w:r w:rsidRPr="00662CBC">
              <w:rPr>
                <w:b/>
                <w:bCs/>
              </w:rPr>
              <w:t>Åland</w:t>
            </w:r>
            <w:proofErr w:type="spellEnd"/>
            <w:r w:rsidRPr="00662CBC">
              <w:rPr>
                <w:b/>
                <w:bCs/>
              </w:rPr>
              <w:t xml:space="preserve"> and the Sami populations, to accelerate women’s equal representation in political and public life;</w:t>
            </w:r>
            <w:r w:rsidRPr="00662CBC">
              <w:br/>
              <w:t xml:space="preserve">(d) </w:t>
            </w:r>
            <w:r w:rsidRPr="00662CBC">
              <w:rPr>
                <w:b/>
                <w:bCs/>
              </w:rPr>
              <w:t xml:space="preserve">Put in place temporary special measures, including statutory quotas, for the representation of women in </w:t>
            </w:r>
            <w:r w:rsidRPr="00662CBC">
              <w:rPr>
                <w:b/>
                <w:bCs/>
              </w:rPr>
              <w:lastRenderedPageBreak/>
              <w:t xml:space="preserve">decision-making positions in the </w:t>
            </w:r>
            <w:proofErr w:type="spellStart"/>
            <w:r w:rsidRPr="00662CBC">
              <w:rPr>
                <w:b/>
                <w:bCs/>
              </w:rPr>
              <w:t>defence</w:t>
            </w:r>
            <w:proofErr w:type="spellEnd"/>
            <w:r w:rsidRPr="00662CBC">
              <w:rPr>
                <w:b/>
                <w:bCs/>
              </w:rPr>
              <w:t xml:space="preserve"> forces.</w:t>
            </w:r>
            <w:r w:rsidRPr="00662CBC">
              <w:t>”</w:t>
            </w:r>
            <w:r w:rsidRPr="005D2F5A">
              <w:rPr>
                <w:rStyle w:val="FootnoteReference"/>
              </w:rPr>
              <w:footnoteReference w:id="125"/>
            </w:r>
          </w:p>
          <w:p w14:paraId="1A04F7D7" w14:textId="35A0E16B" w:rsidR="004116DF" w:rsidRPr="00662CBC" w:rsidRDefault="004116DF" w:rsidP="006064D6"/>
          <w:p w14:paraId="4BA4A814" w14:textId="77777777" w:rsidR="004116DF" w:rsidRPr="00662CBC" w:rsidRDefault="004116DF" w:rsidP="006064D6">
            <w:pPr>
              <w:rPr>
                <w:b/>
                <w:bCs/>
              </w:rPr>
            </w:pPr>
            <w:r w:rsidRPr="00662CBC">
              <w:rPr>
                <w:b/>
                <w:bCs/>
              </w:rPr>
              <w:t xml:space="preserve">Crisis management </w:t>
            </w:r>
          </w:p>
          <w:p w14:paraId="18C29EAE" w14:textId="141EC6DF" w:rsidR="004116DF" w:rsidRPr="00662CBC" w:rsidRDefault="004116DF" w:rsidP="00BA56E5">
            <w:r w:rsidRPr="00662CBC">
              <w:t>“In civilian crisis management, Finland has for several years maintained near gender parity in the experts it recruits (48.8% in 2021), which is among the highest figures in the world. These statistics are particularly remarkable taking into consideration that Finland, unlike most other countries, also includes police officers and border guards in this calculation, sectors that continue to be male dominated inside the country”</w:t>
            </w:r>
            <w:r w:rsidR="00C9109D" w:rsidRPr="00662CBC">
              <w:rPr>
                <w:rStyle w:val="SubtleEmphasis"/>
              </w:rPr>
              <w:t xml:space="preserve"> </w:t>
            </w:r>
            <w:r w:rsidR="00C9109D" w:rsidRPr="005D2F5A">
              <w:rPr>
                <w:rStyle w:val="FootnoteReference"/>
              </w:rPr>
              <w:footnoteReference w:id="126"/>
            </w:r>
          </w:p>
        </w:tc>
        <w:tc>
          <w:tcPr>
            <w:tcW w:w="949" w:type="pct"/>
            <w:shd w:val="clear" w:color="auto" w:fill="auto"/>
          </w:tcPr>
          <w:p w14:paraId="4DABD647" w14:textId="04C97D83" w:rsidR="00BD2D7C" w:rsidRPr="00662CBC" w:rsidRDefault="00BD2D7C" w:rsidP="00BD2D7C">
            <w:r w:rsidRPr="00662CBC">
              <w:rPr>
                <w:b/>
                <w:bCs/>
              </w:rPr>
              <w:lastRenderedPageBreak/>
              <w:t xml:space="preserve">Compulsory military service for men, </w:t>
            </w:r>
            <w:r w:rsidR="00D529F2" w:rsidRPr="00662CBC">
              <w:rPr>
                <w:b/>
                <w:bCs/>
              </w:rPr>
              <w:t xml:space="preserve">voluntary for women </w:t>
            </w:r>
          </w:p>
          <w:p w14:paraId="239D07DD" w14:textId="25C02883" w:rsidR="004116DF" w:rsidRPr="00662CBC" w:rsidRDefault="00BD2D7C" w:rsidP="00595A9A">
            <w:r w:rsidRPr="00662CBC">
              <w:t xml:space="preserve">“at age 18, all Finnish men are obligated to serve 5.5-12 months of service within a branch of the military or the Border Guard (length of service depends on the type of duty), and women 18-29 may volunteer for service; there is also an option to perform non-military service which lasts for 8.5 or 11.5 months; after completing their initial conscript obligation, individuals enter the reserves and remain eligible for mobilization until the age of 50 for rank-and-file and 60 for non-commissioned and </w:t>
            </w:r>
            <w:r w:rsidRPr="00662CBC">
              <w:lastRenderedPageBreak/>
              <w:t>commissioned officers (2022)</w:t>
            </w:r>
            <w:r w:rsidRPr="00662CBC">
              <w:br/>
            </w:r>
            <w:r w:rsidRPr="00662CBC">
              <w:rPr>
                <w:rStyle w:val="Strong"/>
                <w:rFonts w:ascii="GT America Extended" w:hAnsi="GT America Extended"/>
                <w:color w:val="000000"/>
              </w:rPr>
              <w:t>note 1:</w:t>
            </w:r>
            <w:r w:rsidRPr="00662CBC">
              <w:t> the military trains approximately 21,000 (20,000 Army) conscripts each year; as of 2019, women made up about 4% of the military's full-time personnel</w:t>
            </w:r>
            <w:r w:rsidRPr="00662CBC">
              <w:br/>
            </w:r>
            <w:r w:rsidRPr="00326335">
              <w:rPr>
                <w:b/>
                <w:bCs/>
              </w:rPr>
              <w:t>note 2:</w:t>
            </w:r>
            <w:r w:rsidRPr="00662CBC">
              <w:rPr>
                <w:rStyle w:val="Strong"/>
                <w:rFonts w:ascii="GT America Extended" w:hAnsi="GT America Extended"/>
                <w:color w:val="000000"/>
              </w:rPr>
              <w:t> </w:t>
            </w:r>
            <w:r w:rsidRPr="00662CBC">
              <w:t>Finland has had conscription since 1951</w:t>
            </w:r>
            <w:r w:rsidR="00595A9A">
              <w:t>.</w:t>
            </w:r>
            <w:r w:rsidRPr="00662CBC">
              <w:t>”</w:t>
            </w:r>
            <w:r w:rsidR="004116DF" w:rsidRPr="005D2F5A">
              <w:rPr>
                <w:rStyle w:val="FootnoteReference"/>
              </w:rPr>
              <w:footnoteReference w:id="127"/>
            </w:r>
          </w:p>
        </w:tc>
        <w:tc>
          <w:tcPr>
            <w:tcW w:w="677" w:type="pct"/>
            <w:shd w:val="clear" w:color="auto" w:fill="auto"/>
          </w:tcPr>
          <w:p w14:paraId="2092D094" w14:textId="79188CC8" w:rsidR="008D7344" w:rsidRPr="00662CBC" w:rsidRDefault="00000000" w:rsidP="008D7344">
            <w:pPr>
              <w:rPr>
                <w:b/>
                <w:bCs/>
              </w:rPr>
            </w:pPr>
            <w:hyperlink r:id="rId45" w:history="1">
              <w:r w:rsidR="008D7344" w:rsidRPr="00200621">
                <w:rPr>
                  <w:rStyle w:val="Hyperlink"/>
                  <w:b/>
                  <w:bCs/>
                </w:rPr>
                <w:t>NAP 2008-2011</w:t>
              </w:r>
              <w:r w:rsidR="008D7344" w:rsidRPr="00200621">
                <w:rPr>
                  <w:rStyle w:val="Hyperlink"/>
                </w:rPr>
                <w:t xml:space="preserve"> (2008)</w:t>
              </w:r>
            </w:hyperlink>
          </w:p>
          <w:p w14:paraId="3B587E81" w14:textId="715350E4" w:rsidR="008D7344" w:rsidRPr="00662CBC" w:rsidRDefault="00000000" w:rsidP="008D7344">
            <w:pPr>
              <w:rPr>
                <w:b/>
                <w:bCs/>
              </w:rPr>
            </w:pPr>
            <w:hyperlink r:id="rId46" w:history="1">
              <w:r w:rsidR="008D7344" w:rsidRPr="009B424B">
                <w:rPr>
                  <w:rStyle w:val="Hyperlink"/>
                  <w:b/>
                  <w:bCs/>
                </w:rPr>
                <w:t xml:space="preserve">NAP 2012-2016 </w:t>
              </w:r>
              <w:r w:rsidR="008D7344" w:rsidRPr="009B424B">
                <w:rPr>
                  <w:rStyle w:val="Hyperlink"/>
                </w:rPr>
                <w:t>(2012)</w:t>
              </w:r>
            </w:hyperlink>
          </w:p>
          <w:p w14:paraId="4CF9F24E" w14:textId="39583D48" w:rsidR="008D7344" w:rsidRPr="007B24B2" w:rsidRDefault="00000000" w:rsidP="007B24B2">
            <w:hyperlink r:id="rId47" w:history="1">
              <w:r w:rsidR="008D7344" w:rsidRPr="00595A9A">
                <w:rPr>
                  <w:rStyle w:val="Hyperlink"/>
                  <w:b/>
                  <w:bCs/>
                </w:rPr>
                <w:t xml:space="preserve">NAP 2018-2021 </w:t>
              </w:r>
              <w:r w:rsidR="008D7344" w:rsidRPr="00595A9A">
                <w:rPr>
                  <w:rStyle w:val="Hyperlink"/>
                </w:rPr>
                <w:t>(2018)</w:t>
              </w:r>
            </w:hyperlink>
            <w:r w:rsidR="008D7344" w:rsidRPr="00662CBC">
              <w:rPr>
                <w:b/>
                <w:bCs/>
              </w:rPr>
              <w:t xml:space="preserve"> </w:t>
            </w:r>
            <w:r w:rsidR="008D7344" w:rsidRPr="00662CBC">
              <w:t xml:space="preserve">no </w:t>
            </w:r>
            <w:r w:rsidR="007B24B2">
              <w:t>precise</w:t>
            </w:r>
            <w:r w:rsidR="008D7344" w:rsidRPr="00662CBC">
              <w:t xml:space="preserve"> objectives</w:t>
            </w:r>
            <w:r w:rsidR="00C612B5" w:rsidRPr="005D2F5A">
              <w:rPr>
                <w:rStyle w:val="FootnoteReference"/>
              </w:rPr>
              <w:footnoteReference w:id="128"/>
            </w:r>
          </w:p>
          <w:p w14:paraId="7D4E2890" w14:textId="177CA39A" w:rsidR="004116DF" w:rsidRPr="00662CBC" w:rsidRDefault="004116DF" w:rsidP="00DB5430"/>
        </w:tc>
      </w:tr>
      <w:tr w:rsidR="00D16076" w:rsidRPr="00662CBC" w14:paraId="7E3F2534" w14:textId="77777777" w:rsidTr="00F37D6B">
        <w:tc>
          <w:tcPr>
            <w:tcW w:w="139" w:type="pct"/>
            <w:shd w:val="clear" w:color="auto" w:fill="auto"/>
          </w:tcPr>
          <w:p w14:paraId="0562D327"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3B4B3FC2" w14:textId="77777777" w:rsidR="004116DF" w:rsidRPr="00662CBC" w:rsidRDefault="004116DF" w:rsidP="006064D6">
            <w:pPr>
              <w:pStyle w:val="Heading3"/>
            </w:pPr>
            <w:bookmarkStart w:id="20" w:name="_Toc132806704"/>
            <w:r w:rsidRPr="00662CBC">
              <w:t>France</w:t>
            </w:r>
            <w:bookmarkEnd w:id="20"/>
          </w:p>
          <w:p w14:paraId="50D9BEFB" w14:textId="77777777" w:rsidR="004116DF" w:rsidRPr="00662CBC" w:rsidRDefault="004116DF" w:rsidP="006064D6">
            <w:pPr>
              <w:rPr>
                <w:color w:val="FF0000"/>
                <w:szCs w:val="20"/>
              </w:rPr>
            </w:pPr>
          </w:p>
        </w:tc>
        <w:tc>
          <w:tcPr>
            <w:tcW w:w="855" w:type="pct"/>
            <w:shd w:val="clear" w:color="auto" w:fill="auto"/>
          </w:tcPr>
          <w:p w14:paraId="46006FF7" w14:textId="534B2DF9" w:rsidR="004116DF" w:rsidRPr="00662CBC" w:rsidRDefault="004116DF" w:rsidP="00714158">
            <w:r w:rsidRPr="00662CBC">
              <w:t>s. NDC submitted by EU</w:t>
            </w:r>
          </w:p>
        </w:tc>
        <w:tc>
          <w:tcPr>
            <w:tcW w:w="1023" w:type="pct"/>
            <w:shd w:val="clear" w:color="auto" w:fill="auto"/>
          </w:tcPr>
          <w:p w14:paraId="14D9B522" w14:textId="25E37DEC" w:rsidR="00083B9E" w:rsidRDefault="00083B9E" w:rsidP="006611EE">
            <w:r>
              <w:rPr>
                <w:b/>
                <w:bCs/>
              </w:rPr>
              <w:t>Legislated quota</w:t>
            </w:r>
          </w:p>
          <w:p w14:paraId="399D4F74" w14:textId="15E6A17D" w:rsidR="00083B9E" w:rsidRDefault="00102C41" w:rsidP="00714158">
            <w:r>
              <w:t xml:space="preserve">The </w:t>
            </w:r>
            <w:hyperlink r:id="rId48" w:anchor="page=15" w:history="1">
              <w:proofErr w:type="spellStart"/>
              <w:r w:rsidR="00A50AF2" w:rsidRPr="0074624E">
                <w:rPr>
                  <w:rStyle w:val="Hyperlink"/>
                  <w:b/>
                  <w:bCs/>
                </w:rPr>
                <w:t>Sauvadet</w:t>
              </w:r>
              <w:proofErr w:type="spellEnd"/>
              <w:r w:rsidRPr="0074624E">
                <w:rPr>
                  <w:rStyle w:val="Hyperlink"/>
                  <w:b/>
                  <w:bCs/>
                </w:rPr>
                <w:t xml:space="preserve"> Act (2012)</w:t>
              </w:r>
            </w:hyperlink>
            <w:r w:rsidR="00240D60">
              <w:t>: includes gradual quotas of 40% for women in leadership roles in government</w:t>
            </w:r>
          </w:p>
          <w:p w14:paraId="4612FDEF" w14:textId="3E310880" w:rsidR="004B5126" w:rsidRDefault="00000000" w:rsidP="004B5126">
            <w:pPr>
              <w:jc w:val="left"/>
            </w:pPr>
            <w:hyperlink r:id="rId49" w:history="1">
              <w:r w:rsidR="00417EC3" w:rsidRPr="00417EC3">
                <w:rPr>
                  <w:rStyle w:val="Hyperlink"/>
                </w:rPr>
                <w:t xml:space="preserve">General Civil Service Code, </w:t>
              </w:r>
              <w:r w:rsidR="001B12DE" w:rsidRPr="00417EC3">
                <w:rPr>
                  <w:rStyle w:val="Hyperlink"/>
                </w:rPr>
                <w:t>Article L132-5</w:t>
              </w:r>
            </w:hyperlink>
            <w:r w:rsidR="004B5126">
              <w:t>: “</w:t>
            </w:r>
            <w:r w:rsidR="004B5126" w:rsidRPr="004B5126">
              <w:t xml:space="preserve">Every calendar year, at least 40% of appointments for the following jobs must be filled with persons of each sex: </w:t>
            </w:r>
            <w:r w:rsidR="004B5126">
              <w:br/>
            </w:r>
            <w:r w:rsidR="004B5126" w:rsidRPr="004B5126">
              <w:t xml:space="preserve">1°Higher posts; </w:t>
            </w:r>
            <w:r w:rsidR="004B5126">
              <w:br/>
            </w:r>
            <w:r w:rsidR="004B5126" w:rsidRPr="004B5126">
              <w:t xml:space="preserve">2° Other state leadership/management positions </w:t>
            </w:r>
            <w:r w:rsidR="004B5126">
              <w:br/>
            </w:r>
            <w:r w:rsidR="004B5126" w:rsidRPr="004B5126">
              <w:t xml:space="preserve">3° </w:t>
            </w:r>
            <w:r w:rsidR="00CB7763">
              <w:t>L</w:t>
            </w:r>
            <w:r w:rsidR="00CB7763" w:rsidRPr="004B5126">
              <w:t>eadership</w:t>
            </w:r>
            <w:r w:rsidR="00CB7763">
              <w:t>/</w:t>
            </w:r>
            <w:r w:rsidR="004B5126" w:rsidRPr="004B5126">
              <w:t xml:space="preserve">Management positions in public State establishments; </w:t>
            </w:r>
            <w:r w:rsidR="004B5126">
              <w:br/>
            </w:r>
            <w:r w:rsidR="004B5126" w:rsidRPr="004B5126">
              <w:t xml:space="preserve">4° </w:t>
            </w:r>
            <w:r w:rsidR="00CB7763">
              <w:t>L</w:t>
            </w:r>
            <w:r w:rsidR="00CB7763" w:rsidRPr="004B5126">
              <w:t>eadership</w:t>
            </w:r>
            <w:r w:rsidR="00CB7763">
              <w:t>/</w:t>
            </w:r>
            <w:r w:rsidR="004B5126" w:rsidRPr="004B5126">
              <w:t xml:space="preserve">Management positions public establishments </w:t>
            </w:r>
            <w:r w:rsidR="00CB7763">
              <w:t xml:space="preserve">at </w:t>
            </w:r>
            <w:r w:rsidR="00CB7763" w:rsidRPr="004B5126">
              <w:t>region</w:t>
            </w:r>
            <w:r w:rsidR="00CB7763">
              <w:t>al</w:t>
            </w:r>
            <w:r w:rsidR="00CB7763" w:rsidRPr="004B5126">
              <w:t>, department</w:t>
            </w:r>
            <w:r w:rsidR="00CB7763">
              <w:t>al</w:t>
            </w:r>
            <w:r w:rsidR="00CB7763" w:rsidRPr="004B5126">
              <w:t xml:space="preserve">, </w:t>
            </w:r>
            <w:r w:rsidR="00987053" w:rsidRPr="004B5126">
              <w:t>municipal</w:t>
            </w:r>
            <w:r w:rsidR="00987053">
              <w:t xml:space="preserve"> level, </w:t>
            </w:r>
            <w:r w:rsidR="00093BA0">
              <w:t>[…]</w:t>
            </w:r>
            <w:r w:rsidR="004B5126" w:rsidRPr="004B5126">
              <w:t xml:space="preserve"> </w:t>
            </w:r>
            <w:r w:rsidR="004B5126">
              <w:br/>
            </w:r>
            <w:r w:rsidR="004B5126" w:rsidRPr="004B5126">
              <w:t>5° Management positions in the public hospital service.</w:t>
            </w:r>
            <w:r w:rsidR="004B5126">
              <w:t>” (trans. my own)</w:t>
            </w:r>
            <w:r w:rsidR="004B5126" w:rsidRPr="005D2F5A">
              <w:rPr>
                <w:rStyle w:val="FootnoteReference"/>
              </w:rPr>
              <w:footnoteReference w:id="129"/>
            </w:r>
          </w:p>
          <w:p w14:paraId="4F2B20D4" w14:textId="77777777" w:rsidR="00B601EB" w:rsidRPr="00B601EB" w:rsidRDefault="00B601EB" w:rsidP="00714158">
            <w:pPr>
              <w:rPr>
                <w:b/>
                <w:bCs/>
              </w:rPr>
            </w:pPr>
          </w:p>
          <w:p w14:paraId="69003060" w14:textId="0BB01BDF" w:rsidR="00AB3AE1" w:rsidRDefault="00831720" w:rsidP="00714158">
            <w:r>
              <w:rPr>
                <w:b/>
                <w:bCs/>
              </w:rPr>
              <w:t>Note</w:t>
            </w:r>
            <w:r w:rsidR="006611EE">
              <w:rPr>
                <w:b/>
                <w:bCs/>
              </w:rPr>
              <w:t xml:space="preserve"> 1</w:t>
            </w:r>
            <w:r>
              <w:rPr>
                <w:b/>
                <w:bCs/>
              </w:rPr>
              <w:t xml:space="preserve">: </w:t>
            </w:r>
            <w:r w:rsidR="004116DF" w:rsidRPr="00662CBC">
              <w:t>France’s Third International Strategy for Gender Equality</w:t>
            </w:r>
            <w:r w:rsidR="00AB3AE1">
              <w:t xml:space="preserve"> </w:t>
            </w:r>
            <w:r w:rsidR="00AB3AE1" w:rsidRPr="00AB3AE1">
              <w:t xml:space="preserve">calls for: </w:t>
            </w:r>
          </w:p>
          <w:p w14:paraId="4D68429D" w14:textId="38031B34" w:rsidR="006611EE" w:rsidRDefault="00AB3AE1" w:rsidP="00A71C70">
            <w:pPr>
              <w:jc w:val="left"/>
            </w:pPr>
            <w:r>
              <w:t>“</w:t>
            </w:r>
            <w:r w:rsidRPr="00AB3AE1">
              <w:t xml:space="preserve">• Increasing the number of women in management, </w:t>
            </w:r>
            <w:proofErr w:type="gramStart"/>
            <w:r w:rsidRPr="00AB3AE1">
              <w:t>director</w:t>
            </w:r>
            <w:proofErr w:type="gramEnd"/>
            <w:r w:rsidRPr="00AB3AE1">
              <w:t xml:space="preserve"> and </w:t>
            </w:r>
            <w:r w:rsidRPr="00AB3AE1">
              <w:lastRenderedPageBreak/>
              <w:t>ambassador positions. In December 2017, there were 50 female ambassadors (i.e., 25% of all ambassadors, including special ambassadors); there were 9 female directors and heads of service (i.e., 28%).</w:t>
            </w:r>
            <w:r w:rsidR="00093BA0">
              <w:br/>
            </w:r>
            <w:r w:rsidR="00BA3359" w:rsidRPr="00BA3359">
              <w:t xml:space="preserve">• Highlighting the equality challenges between men and women in institutional communication. </w:t>
            </w:r>
            <w:r w:rsidR="00093BA0">
              <w:br/>
            </w:r>
            <w:r w:rsidR="00BA3359" w:rsidRPr="00BA3359">
              <w:t>• Updating human resource tools to support professional equality and equal pay:</w:t>
            </w:r>
            <w:r w:rsidR="00BA3359">
              <w:br/>
            </w:r>
            <w:r w:rsidR="00BA3359" w:rsidRPr="00BA3359">
              <w:t xml:space="preserve">- develop a formal system to handle harassment and violence in the workplace; </w:t>
            </w:r>
            <w:r w:rsidR="00BA3359">
              <w:br/>
            </w:r>
            <w:r w:rsidR="00BA3359" w:rsidRPr="00BA3359">
              <w:t xml:space="preserve">- carry out a study on gender divisions in the workplace and communicate the results to relevant agencies; </w:t>
            </w:r>
            <w:r w:rsidR="00BA3359">
              <w:br/>
            </w:r>
            <w:r w:rsidR="00BA3359" w:rsidRPr="00BA3359">
              <w:t>- pursue and strengthen the use of tools to ensure better work/ life balance.</w:t>
            </w:r>
            <w:r w:rsidR="00A71C70">
              <w:br/>
            </w:r>
            <w:r w:rsidR="00B601EB" w:rsidRPr="00B601EB">
              <w:t xml:space="preserve">Equality starts by taking work/life balance issues into account through human resource management and working arrangements. While such measures apply to all employees, in reality, women stand to gain the most from them. Mechanisms include a charter on workplace hours, </w:t>
            </w:r>
            <w:r w:rsidR="00B601EB" w:rsidRPr="00B601EB">
              <w:lastRenderedPageBreak/>
              <w:t>statistical tools to monitor hours worked to ensure good practices and that rules are followed, expanded teleworking arrangements (nearly 150 employees, more than 60% of whom are women, enjoy teleworking arrangements and are centrally managed; this figure is rising) and special arrangements to cover for women on maternity leave. Moreover, the Ministry’s family support services department is working to improve work/life balance for all employees.</w:t>
            </w:r>
            <w:r>
              <w:t>”</w:t>
            </w:r>
            <w:r w:rsidRPr="005D2F5A">
              <w:rPr>
                <w:rStyle w:val="FootnoteReference"/>
              </w:rPr>
              <w:footnoteReference w:id="130"/>
            </w:r>
          </w:p>
          <w:p w14:paraId="28BCE3A8" w14:textId="77777777" w:rsidR="00255C12" w:rsidRPr="006611EE" w:rsidRDefault="00255C12" w:rsidP="006611EE"/>
          <w:p w14:paraId="3CF838E3" w14:textId="478691B5" w:rsidR="006611EE" w:rsidRDefault="006611EE" w:rsidP="006611EE">
            <w:pPr>
              <w:rPr>
                <w:b/>
                <w:bCs/>
              </w:rPr>
            </w:pPr>
            <w:r>
              <w:rPr>
                <w:b/>
                <w:bCs/>
              </w:rPr>
              <w:t>Note 2</w:t>
            </w:r>
            <w:r>
              <w:t xml:space="preserve">: </w:t>
            </w:r>
            <w:r w:rsidR="00093BA0">
              <w:rPr>
                <w:b/>
                <w:bCs/>
              </w:rPr>
              <w:t>implementation.</w:t>
            </w:r>
          </w:p>
          <w:p w14:paraId="3D67C6C5" w14:textId="19AB1F61" w:rsidR="006611EE" w:rsidRPr="006611EE" w:rsidRDefault="006611EE" w:rsidP="006611EE">
            <w:pPr>
              <w:rPr>
                <w:b/>
                <w:bCs/>
              </w:rPr>
            </w:pPr>
            <w:r>
              <w:t>“</w:t>
            </w:r>
            <w:r w:rsidRPr="0019248B">
              <w:t xml:space="preserve">According to the statistics established on 31 December 2021, 28% of the Ministry’s ambassadors are women (compared with 11% in 2012), making up 50% of women ambassadors in European Union countries. </w:t>
            </w:r>
            <w:r>
              <w:br/>
            </w:r>
            <w:r w:rsidRPr="0019248B">
              <w:t xml:space="preserve">In 2022, nearly 30% (29.76%) of consul-generals are women. </w:t>
            </w:r>
            <w:r>
              <w:br/>
            </w:r>
            <w:r w:rsidRPr="0019248B">
              <w:t xml:space="preserve">The Ministry has met the goals of the </w:t>
            </w:r>
            <w:proofErr w:type="spellStart"/>
            <w:r w:rsidRPr="0019248B">
              <w:t>Sauvadet</w:t>
            </w:r>
            <w:proofErr w:type="spellEnd"/>
            <w:r w:rsidRPr="0019248B">
              <w:t xml:space="preserve"> Act with 44% of prime appointments for women ambassadors and directors of the central administration. The percentage is 41.3% if </w:t>
            </w:r>
            <w:r w:rsidRPr="0019248B">
              <w:lastRenderedPageBreak/>
              <w:t xml:space="preserve">all positions of the </w:t>
            </w:r>
            <w:proofErr w:type="spellStart"/>
            <w:r w:rsidRPr="0019248B">
              <w:t>Sauvadet</w:t>
            </w:r>
            <w:proofErr w:type="spellEnd"/>
            <w:r w:rsidRPr="0019248B">
              <w:t xml:space="preserve"> Act are considered (ambassadors, directors in the central administration, heads of services and heads of departments). </w:t>
            </w:r>
            <w:r>
              <w:br/>
            </w:r>
            <w:r w:rsidRPr="0019248B">
              <w:t xml:space="preserve">Improving occupational equality also means highlighting issues in institutional communication and adopting appropriate policies such as: </w:t>
            </w:r>
            <w:r>
              <w:br/>
            </w:r>
            <w:r w:rsidRPr="0019248B">
              <w:t xml:space="preserve">• The prevention and fight against discrimination, acts of violence, moral or sexual harassment and sexist </w:t>
            </w:r>
            <w:proofErr w:type="spellStart"/>
            <w:r w:rsidRPr="0019248B">
              <w:t>behaviour</w:t>
            </w:r>
            <w:proofErr w:type="spellEnd"/>
            <w:r w:rsidRPr="0019248B">
              <w:t xml:space="preserve"> via the special “zero tolerance” unit providing counselling and psychological assistance; </w:t>
            </w:r>
            <w:r>
              <w:br/>
            </w:r>
            <w:r w:rsidRPr="0019248B">
              <w:t xml:space="preserve">• The continuation and strengthening of </w:t>
            </w:r>
            <w:proofErr w:type="spellStart"/>
            <w:r w:rsidRPr="0019248B">
              <w:t>programmes</w:t>
            </w:r>
            <w:proofErr w:type="spellEnd"/>
            <w:r w:rsidRPr="0019248B">
              <w:t xml:space="preserve"> to improve people’s work/life balance. </w:t>
            </w:r>
            <w:r>
              <w:br/>
            </w:r>
            <w:r w:rsidRPr="0019248B">
              <w:t>These services are for all Ministry staff.</w:t>
            </w:r>
            <w:r>
              <w:t>”</w:t>
            </w:r>
            <w:r w:rsidRPr="005D2F5A">
              <w:rPr>
                <w:rStyle w:val="FootnoteReference"/>
              </w:rPr>
              <w:footnoteReference w:id="131"/>
            </w:r>
          </w:p>
          <w:p w14:paraId="17193736" w14:textId="77777777" w:rsidR="006611EE" w:rsidRDefault="006611EE" w:rsidP="00714158"/>
          <w:p w14:paraId="795FF44E" w14:textId="20C44AE9" w:rsidR="00AB3AE1" w:rsidRPr="005E10AD" w:rsidRDefault="001B4E26" w:rsidP="005E10AD">
            <w:r w:rsidRPr="005D2F5A">
              <w:rPr>
                <w:b/>
                <w:bCs/>
              </w:rPr>
              <w:t>Note</w:t>
            </w:r>
            <w:r w:rsidR="00255C12" w:rsidRPr="005D2F5A">
              <w:rPr>
                <w:b/>
                <w:bCs/>
              </w:rPr>
              <w:t xml:space="preserve"> 3</w:t>
            </w:r>
            <w:r w:rsidRPr="005D2F5A">
              <w:rPr>
                <w:b/>
                <w:bCs/>
              </w:rPr>
              <w:t>: France is promoting an in</w:t>
            </w:r>
            <w:r w:rsidR="00B353D8" w:rsidRPr="005D2F5A">
              <w:rPr>
                <w:b/>
                <w:bCs/>
              </w:rPr>
              <w:t>clusive feminist foreign policy</w:t>
            </w:r>
            <w:r w:rsidR="00255C12" w:rsidRPr="005D2F5A">
              <w:t xml:space="preserve"> </w:t>
            </w:r>
            <w:r w:rsidR="00255C12" w:rsidRPr="005D2F5A">
              <w:rPr>
                <w:b/>
                <w:bCs/>
              </w:rPr>
              <w:t xml:space="preserve">– but the </w:t>
            </w:r>
            <w:r w:rsidR="00375F12" w:rsidRPr="005D2F5A">
              <w:rPr>
                <w:b/>
                <w:bCs/>
              </w:rPr>
              <w:t>quotas focus on the men/women dichotomy and the participation goals focus on women in general</w:t>
            </w:r>
            <w:r w:rsidR="00DC725C" w:rsidRPr="005D2F5A">
              <w:rPr>
                <w:rStyle w:val="FootnoteReference"/>
              </w:rPr>
              <w:footnoteReference w:id="132"/>
            </w:r>
          </w:p>
        </w:tc>
        <w:tc>
          <w:tcPr>
            <w:tcW w:w="903" w:type="pct"/>
            <w:shd w:val="clear" w:color="auto" w:fill="auto"/>
          </w:tcPr>
          <w:p w14:paraId="11310ABC" w14:textId="217591E2" w:rsidR="00824A7C" w:rsidRDefault="00824A7C" w:rsidP="00824A7C">
            <w:pPr>
              <w:rPr>
                <w:rStyle w:val="FootnoteReference"/>
                <w:b/>
                <w:bCs/>
                <w:vertAlign w:val="baseline"/>
              </w:rPr>
            </w:pPr>
            <w:r>
              <w:rPr>
                <w:b/>
                <w:bCs/>
              </w:rPr>
              <w:lastRenderedPageBreak/>
              <w:t>—</w:t>
            </w:r>
          </w:p>
          <w:p w14:paraId="0A19E775" w14:textId="34508CA9" w:rsidR="00DC21FB" w:rsidRDefault="00922F83" w:rsidP="00824A7C">
            <w:pPr>
              <w:rPr>
                <w:b/>
                <w:bCs/>
              </w:rPr>
            </w:pPr>
            <w:r w:rsidRPr="00025EAB">
              <w:rPr>
                <w:rStyle w:val="FootnoteReference"/>
                <w:b/>
                <w:bCs/>
                <w:vertAlign w:val="baseline"/>
              </w:rPr>
              <w:t>No legislated quotas</w:t>
            </w:r>
            <w:r w:rsidR="00824A7C">
              <w:rPr>
                <w:b/>
                <w:bCs/>
              </w:rPr>
              <w:t xml:space="preserve"> for the Army in general</w:t>
            </w:r>
          </w:p>
          <w:p w14:paraId="34A82F20" w14:textId="7B574181" w:rsidR="00922F83" w:rsidRDefault="00DC21FB" w:rsidP="00922F83">
            <w:r w:rsidRPr="00DC21FB">
              <w:t>“</w:t>
            </w:r>
            <w:r w:rsidR="00922F83" w:rsidRPr="00025EAB">
              <w:t>There is no quota system for women or men in the French Armed Forces. There are no restrictions on the incorporation of women in the French Armed Forces, nor are there restrictions that only apply to operations.”</w:t>
            </w:r>
            <w:r w:rsidR="00922F83">
              <w:rPr>
                <w:rStyle w:val="FootnoteReference"/>
              </w:rPr>
              <w:footnoteReference w:id="133"/>
            </w:r>
          </w:p>
          <w:p w14:paraId="47E1A39B" w14:textId="77777777" w:rsidR="00714DB1" w:rsidRDefault="00922F83" w:rsidP="00922F83">
            <w:pPr>
              <w:rPr>
                <w:b/>
                <w:bCs/>
              </w:rPr>
            </w:pPr>
            <w:r>
              <w:rPr>
                <w:b/>
                <w:bCs/>
              </w:rPr>
              <w:t>Note 1</w:t>
            </w:r>
            <w:r>
              <w:t xml:space="preserve">: </w:t>
            </w:r>
            <w:r>
              <w:rPr>
                <w:b/>
                <w:bCs/>
              </w:rPr>
              <w:t xml:space="preserve">Institutional mechanism to integrate </w:t>
            </w:r>
            <w:proofErr w:type="gramStart"/>
            <w:r>
              <w:rPr>
                <w:b/>
                <w:bCs/>
              </w:rPr>
              <w:t>gender</w:t>
            </w:r>
            <w:proofErr w:type="gramEnd"/>
            <w:r>
              <w:rPr>
                <w:b/>
                <w:bCs/>
              </w:rPr>
              <w:t xml:space="preserve"> </w:t>
            </w:r>
          </w:p>
          <w:p w14:paraId="3324BCA9" w14:textId="19EA2D89" w:rsidR="00922F83" w:rsidRDefault="00922F83" w:rsidP="00922F83">
            <w:r w:rsidRPr="00025EAB">
              <w:t>“The Senior Officer for Gender Equality and the Observatory on Gender Parity are the military entities responsible for the integration of gender perspectives in the Armed Forces.”</w:t>
            </w:r>
            <w:r>
              <w:rPr>
                <w:rStyle w:val="FootnoteReference"/>
              </w:rPr>
              <w:footnoteReference w:id="134"/>
            </w:r>
          </w:p>
          <w:p w14:paraId="236677AA" w14:textId="77777777" w:rsidR="00922F83" w:rsidRPr="00025EAB" w:rsidRDefault="00922F83" w:rsidP="00922F83">
            <w:r>
              <w:rPr>
                <w:b/>
                <w:bCs/>
              </w:rPr>
              <w:t>Note 2: Military equipment/facilities/and uniform for both sexes</w:t>
            </w:r>
            <w:r>
              <w:t>: “</w:t>
            </w:r>
            <w:r w:rsidRPr="00025EAB">
              <w:t xml:space="preserve">Military equipment has been ergonomically adapted for both women and men in the armed forces, in a way that can be used by both sexes. Service </w:t>
            </w:r>
            <w:r w:rsidRPr="00025EAB">
              <w:lastRenderedPageBreak/>
              <w:t>uniforms are designed for both women and men.”</w:t>
            </w:r>
            <w:r>
              <w:rPr>
                <w:rStyle w:val="FootnoteReference"/>
              </w:rPr>
              <w:footnoteReference w:id="135"/>
            </w:r>
          </w:p>
          <w:p w14:paraId="2D096730" w14:textId="77777777" w:rsidR="00922F83" w:rsidRPr="00025EAB" w:rsidRDefault="00922F83" w:rsidP="00922F83">
            <w:r w:rsidRPr="00025EAB">
              <w:rPr>
                <w:b/>
                <w:bCs/>
              </w:rPr>
              <w:t xml:space="preserve">Note 3: Difficult work/life </w:t>
            </w:r>
            <w:r>
              <w:rPr>
                <w:b/>
                <w:bCs/>
              </w:rPr>
              <w:t>balance “</w:t>
            </w:r>
            <w:r w:rsidRPr="00025EAB">
              <w:t>Through the FAF recruitment service, exit surveys are conducted for personnel who leave the military. Out of the total number of personnel who left, 11.8% were women and 88.2% were men. Most service members left the armed forces due to difficulties in balancing work and family life, lack of stability or because of retirement.”</w:t>
            </w:r>
            <w:r w:rsidRPr="00025EAB">
              <w:rPr>
                <w:rStyle w:val="FootnoteReference"/>
              </w:rPr>
              <w:t xml:space="preserve"> </w:t>
            </w:r>
            <w:r>
              <w:rPr>
                <w:rStyle w:val="FootnoteReference"/>
              </w:rPr>
              <w:footnoteReference w:id="136"/>
            </w:r>
          </w:p>
          <w:p w14:paraId="6C09A9EB" w14:textId="5CC85947" w:rsidR="00831720" w:rsidRDefault="00831720" w:rsidP="00831720">
            <w:pPr>
              <w:rPr>
                <w:b/>
                <w:bCs/>
              </w:rPr>
            </w:pPr>
          </w:p>
          <w:p w14:paraId="309BA02E" w14:textId="77777777" w:rsidR="002C7236" w:rsidRDefault="002C7236" w:rsidP="00831720">
            <w:pPr>
              <w:rPr>
                <w:b/>
                <w:bCs/>
              </w:rPr>
            </w:pPr>
          </w:p>
          <w:p w14:paraId="712C43FA" w14:textId="61D2E6AD" w:rsidR="002C7236" w:rsidRPr="002C7236" w:rsidRDefault="002C7236" w:rsidP="00831720"/>
        </w:tc>
        <w:tc>
          <w:tcPr>
            <w:tcW w:w="949" w:type="pct"/>
            <w:shd w:val="clear" w:color="auto" w:fill="auto"/>
          </w:tcPr>
          <w:p w14:paraId="43AD9375" w14:textId="77777777" w:rsidR="001F205E" w:rsidRPr="00032266" w:rsidRDefault="001F205E" w:rsidP="001F205E">
            <w:pPr>
              <w:rPr>
                <w:b/>
                <w:bCs/>
              </w:rPr>
            </w:pPr>
            <w:r>
              <w:rPr>
                <w:b/>
                <w:bCs/>
              </w:rPr>
              <w:lastRenderedPageBreak/>
              <w:t xml:space="preserve">Voluntary </w:t>
            </w:r>
            <w:r w:rsidRPr="00032266">
              <w:rPr>
                <w:b/>
                <w:bCs/>
              </w:rPr>
              <w:t>military service for men and women</w:t>
            </w:r>
            <w:r>
              <w:rPr>
                <w:b/>
                <w:bCs/>
              </w:rPr>
              <w:t>:</w:t>
            </w:r>
          </w:p>
          <w:p w14:paraId="4487795D" w14:textId="52934EFA" w:rsidR="004116DF" w:rsidRPr="00662CBC" w:rsidRDefault="001F205E" w:rsidP="001F205E">
            <w:r>
              <w:t>“</w:t>
            </w:r>
            <w:r w:rsidRPr="00032266">
              <w:t>18-25 years of age for voluntary military service for men and women; no conscription (abolished 2001); 12-month service obligation; women serve in noncombat posts (2022)</w:t>
            </w:r>
            <w:r w:rsidRPr="00032266">
              <w:br/>
            </w:r>
            <w:r w:rsidRPr="00032266">
              <w:rPr>
                <w:b/>
                <w:bCs/>
              </w:rPr>
              <w:t>note 1: </w:t>
            </w:r>
            <w:r w:rsidRPr="00032266">
              <w:t>in 2019, women comprised approximately 16% of the uniformed armed forces </w:t>
            </w:r>
            <w:r w:rsidRPr="00032266">
              <w:br/>
            </w:r>
            <w:r w:rsidRPr="00032266">
              <w:rPr>
                <w:b/>
                <w:bCs/>
              </w:rPr>
              <w:t>note 2: </w:t>
            </w:r>
            <w:r w:rsidRPr="00032266">
              <w:t>men between the ages of 17.5 and 39.5 years of age, of any nationality, may join the French Foreign Legion; those volunteers selected for service sign five-year contracts</w:t>
            </w:r>
            <w:r w:rsidRPr="00032266">
              <w:br/>
            </w:r>
            <w:r w:rsidRPr="00032266">
              <w:rPr>
                <w:b/>
                <w:bCs/>
              </w:rPr>
              <w:t>note 3:</w:t>
            </w:r>
            <w:r w:rsidRPr="00032266">
              <w:t xml:space="preserve"> in 2018, Parliament passed a law that would require military service for all genders beginning in 2024; Prime Minister MACRON included the measure in his platform hoping that it would reinvigorate a sense of civic duty; the service would include two components: the first would take place around age 16 and include one month of training and civic </w:t>
            </w:r>
            <w:r w:rsidRPr="00032266">
              <w:lastRenderedPageBreak/>
              <w:t>service, while the second component would last between three months and a year and be more geared towards defense and security duties; France began a pilot for the program in 2019</w:t>
            </w:r>
            <w:r>
              <w:t>”</w:t>
            </w:r>
            <w:r w:rsidR="004116DF" w:rsidRPr="005D2F5A">
              <w:rPr>
                <w:rStyle w:val="FootnoteReference"/>
              </w:rPr>
              <w:footnoteReference w:id="137"/>
            </w:r>
          </w:p>
        </w:tc>
        <w:tc>
          <w:tcPr>
            <w:tcW w:w="677" w:type="pct"/>
            <w:shd w:val="clear" w:color="auto" w:fill="auto"/>
          </w:tcPr>
          <w:p w14:paraId="4C88AECD" w14:textId="3AE9CA98" w:rsidR="006A6897" w:rsidRDefault="00000000" w:rsidP="00714158">
            <w:pPr>
              <w:rPr>
                <w:b/>
                <w:bCs/>
              </w:rPr>
            </w:pPr>
            <w:hyperlink r:id="rId50" w:history="1">
              <w:r w:rsidR="006A6897" w:rsidRPr="007C63C7">
                <w:rPr>
                  <w:rStyle w:val="Hyperlink"/>
                  <w:b/>
                  <w:bCs/>
                </w:rPr>
                <w:t>NAP 2010-2013</w:t>
              </w:r>
            </w:hyperlink>
          </w:p>
          <w:p w14:paraId="3FE0B77D" w14:textId="541F207A" w:rsidR="006A6897" w:rsidRDefault="00000000" w:rsidP="00714158">
            <w:pPr>
              <w:rPr>
                <w:b/>
                <w:bCs/>
              </w:rPr>
            </w:pPr>
            <w:hyperlink r:id="rId51" w:history="1">
              <w:r w:rsidR="006A6897" w:rsidRPr="007C63C7">
                <w:rPr>
                  <w:rStyle w:val="Hyperlink"/>
                  <w:b/>
                  <w:bCs/>
                </w:rPr>
                <w:t>NAP  2015-2018</w:t>
              </w:r>
            </w:hyperlink>
          </w:p>
          <w:p w14:paraId="4D354A5D" w14:textId="77777777" w:rsidR="00E34C65" w:rsidRDefault="00000000" w:rsidP="00714158">
            <w:pPr>
              <w:rPr>
                <w:b/>
                <w:bCs/>
              </w:rPr>
            </w:pPr>
            <w:hyperlink r:id="rId52" w:history="1">
              <w:r w:rsidR="006A6897" w:rsidRPr="002B56C8">
                <w:rPr>
                  <w:rStyle w:val="Hyperlink"/>
                  <w:b/>
                  <w:bCs/>
                </w:rPr>
                <w:t xml:space="preserve">NAP 2021-2025 </w:t>
              </w:r>
              <w:r w:rsidR="006A6897" w:rsidRPr="002B56C8">
                <w:rPr>
                  <w:rStyle w:val="Hyperlink"/>
                </w:rPr>
                <w:t>(2021)</w:t>
              </w:r>
            </w:hyperlink>
          </w:p>
          <w:p w14:paraId="73912506" w14:textId="48A9424C" w:rsidR="00E34C65" w:rsidRDefault="00D87F61" w:rsidP="00E34C65">
            <w:pPr>
              <w:pStyle w:val="ListParagraph"/>
              <w:numPr>
                <w:ilvl w:val="0"/>
                <w:numId w:val="17"/>
              </w:numPr>
            </w:pPr>
            <w:r>
              <w:t>does not mention quotas</w:t>
            </w:r>
            <w:r w:rsidR="005B66DA">
              <w:t xml:space="preserve"> </w:t>
            </w:r>
            <w:r w:rsidR="00E34C65">
              <w:t xml:space="preserve">or precise </w:t>
            </w:r>
            <w:proofErr w:type="gramStart"/>
            <w:r w:rsidR="00E34C65">
              <w:t>objectives</w:t>
            </w:r>
            <w:proofErr w:type="gramEnd"/>
            <w:r w:rsidR="00E34C65">
              <w:t xml:space="preserve"> </w:t>
            </w:r>
          </w:p>
          <w:p w14:paraId="4A38C089" w14:textId="3BE6B1D1" w:rsidR="004116DF" w:rsidRPr="00662CBC" w:rsidRDefault="005B66DA" w:rsidP="00E34C65">
            <w:pPr>
              <w:pStyle w:val="ListParagraph"/>
              <w:numPr>
                <w:ilvl w:val="0"/>
                <w:numId w:val="17"/>
              </w:numPr>
            </w:pPr>
            <w:r>
              <w:t>has a dominant focus on participation</w:t>
            </w:r>
            <w:r w:rsidR="00C76CAE" w:rsidRPr="005D2F5A">
              <w:rPr>
                <w:rStyle w:val="FootnoteReference"/>
              </w:rPr>
              <w:footnoteReference w:id="138"/>
            </w:r>
          </w:p>
        </w:tc>
      </w:tr>
      <w:tr w:rsidR="005E47D9" w:rsidRPr="005A7203" w14:paraId="1E3A0554" w14:textId="77777777" w:rsidTr="00F37D6B">
        <w:tc>
          <w:tcPr>
            <w:tcW w:w="139" w:type="pct"/>
            <w:shd w:val="clear" w:color="auto" w:fill="auto"/>
          </w:tcPr>
          <w:p w14:paraId="57832923"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5DCDF742" w14:textId="77777777" w:rsidR="004116DF" w:rsidRPr="00662CBC" w:rsidRDefault="004116DF" w:rsidP="006064D6">
            <w:pPr>
              <w:pStyle w:val="Heading3"/>
            </w:pPr>
            <w:bookmarkStart w:id="21" w:name="_Toc132806705"/>
            <w:r w:rsidRPr="00662CBC">
              <w:t>Georgia</w:t>
            </w:r>
            <w:bookmarkEnd w:id="21"/>
            <w:r w:rsidRPr="00662CBC">
              <w:t xml:space="preserve"> </w:t>
            </w:r>
          </w:p>
        </w:tc>
        <w:tc>
          <w:tcPr>
            <w:tcW w:w="855" w:type="pct"/>
            <w:shd w:val="clear" w:color="auto" w:fill="auto"/>
          </w:tcPr>
          <w:p w14:paraId="21F2384C" w14:textId="505DE7C5" w:rsidR="004116DF" w:rsidRDefault="00F42ABD" w:rsidP="00714158">
            <w:r w:rsidRPr="00F42ABD">
              <w:t>Georgia's Update - Nationally Determined Contribution (NDC)</w:t>
            </w:r>
            <w:r w:rsidR="002E6627">
              <w:t xml:space="preserve"> 2021-2030</w:t>
            </w:r>
            <w:r w:rsidR="00AC6305">
              <w:t>:</w:t>
            </w:r>
          </w:p>
          <w:p w14:paraId="3D914E9A" w14:textId="4900BBB9" w:rsidR="00AC6305" w:rsidRDefault="00575542" w:rsidP="00AC6305">
            <w:pPr>
              <w:pStyle w:val="ListParagraph"/>
              <w:numPr>
                <w:ilvl w:val="0"/>
                <w:numId w:val="17"/>
              </w:numPr>
            </w:pPr>
            <w:r>
              <w:lastRenderedPageBreak/>
              <w:t xml:space="preserve">Gender-sensitive </w:t>
            </w:r>
            <w:r w:rsidR="00F435F8">
              <w:t>and acknowledges women as a vulnerable group</w:t>
            </w:r>
            <w:r w:rsidR="00F435F8" w:rsidRPr="005D2F5A">
              <w:rPr>
                <w:rStyle w:val="FootnoteReference"/>
              </w:rPr>
              <w:footnoteReference w:id="139"/>
            </w:r>
          </w:p>
          <w:p w14:paraId="4D3F6110" w14:textId="41A7E9F6" w:rsidR="00575542" w:rsidRDefault="00301BA2" w:rsidP="00C10AD4">
            <w:pPr>
              <w:pStyle w:val="ListParagraph"/>
              <w:numPr>
                <w:ilvl w:val="0"/>
                <w:numId w:val="17"/>
              </w:numPr>
              <w:jc w:val="left"/>
            </w:pPr>
            <w:r>
              <w:t>Includes leadershi</w:t>
            </w:r>
            <w:r w:rsidR="0097278B">
              <w:t>p</w:t>
            </w:r>
            <w:r>
              <w:t xml:space="preserve">: </w:t>
            </w:r>
            <w:r w:rsidR="00B95D7A">
              <w:br/>
            </w:r>
            <w:r w:rsidR="00575542">
              <w:t>“</w:t>
            </w:r>
            <w:r w:rsidR="00B95D7A">
              <w:t>70.</w:t>
            </w:r>
            <w:r w:rsidR="004177C6">
              <w:t xml:space="preserve"> </w:t>
            </w:r>
            <w:r w:rsidR="00B95D7A" w:rsidRPr="00B95D7A">
              <w:t xml:space="preserve">Georgia’s updated NDC acknowledges the nationalization of targets 5.1-5.6, 5.a, and 5.b of Sustainable Development Goal 5 on the achievement of gender equality and empowerment all women and girls; </w:t>
            </w:r>
            <w:r w:rsidR="00BF30BB">
              <w:br/>
              <w:t xml:space="preserve">71. </w:t>
            </w:r>
            <w:r w:rsidR="00B95D7A" w:rsidRPr="00B95D7A">
              <w:t xml:space="preserve">Given that the majority of teachers at primary and secondary schools, 58%7 of lecturers at universities, and 65%8 of doctors are women, Georgia intends empowering women as agents of change through involving them in decision-making processes addressing healthcare issues </w:t>
            </w:r>
            <w:r w:rsidR="00B95D7A" w:rsidRPr="00B95D7A">
              <w:lastRenderedPageBreak/>
              <w:t>induced by climate change and related to the activities and programs, such as awareness raising on climate change, capacity</w:t>
            </w:r>
            <w:r w:rsidR="00230FE9">
              <w:t xml:space="preserve"> </w:t>
            </w:r>
            <w:r w:rsidR="00B95D7A" w:rsidRPr="00B95D7A">
              <w:t>building and knowledge-sharing aiming at changing behavior;</w:t>
            </w:r>
            <w:r w:rsidR="004177C6">
              <w:br/>
              <w:t xml:space="preserve">72. </w:t>
            </w:r>
            <w:r w:rsidR="00575542" w:rsidRPr="00575542">
              <w:t xml:space="preserve">Georgia further considers </w:t>
            </w:r>
            <w:proofErr w:type="gramStart"/>
            <w:r w:rsidR="00575542" w:rsidRPr="00575542">
              <w:t>to</w:t>
            </w:r>
            <w:r w:rsidR="00575542">
              <w:t xml:space="preserve"> </w:t>
            </w:r>
            <w:r w:rsidR="00575542" w:rsidRPr="00575542">
              <w:t>empower</w:t>
            </w:r>
            <w:proofErr w:type="gramEnd"/>
            <w:r w:rsidR="00575542" w:rsidRPr="00575542">
              <w:t xml:space="preserve"> women as agents of change through their participation in decision-making processes related to energy efficiency measures and efficient use of water resources in households;</w:t>
            </w:r>
            <w:r w:rsidR="00575542">
              <w:t>”</w:t>
            </w:r>
            <w:r w:rsidR="007F67F8" w:rsidRPr="005D2F5A">
              <w:rPr>
                <w:rStyle w:val="FootnoteReference"/>
              </w:rPr>
              <w:footnoteReference w:id="140"/>
            </w:r>
          </w:p>
          <w:p w14:paraId="3234091C" w14:textId="7B0D8E49" w:rsidR="009E1194" w:rsidRPr="00662CBC" w:rsidRDefault="009E1194" w:rsidP="00714158"/>
        </w:tc>
        <w:tc>
          <w:tcPr>
            <w:tcW w:w="1023" w:type="pct"/>
            <w:shd w:val="clear" w:color="auto" w:fill="auto"/>
          </w:tcPr>
          <w:p w14:paraId="23A74653" w14:textId="77777777" w:rsidR="004116DF" w:rsidRDefault="0085396F" w:rsidP="00714158">
            <w:pPr>
              <w:rPr>
                <w:b/>
                <w:bCs/>
              </w:rPr>
            </w:pPr>
            <w:r>
              <w:rPr>
                <w:b/>
                <w:bCs/>
              </w:rPr>
              <w:lastRenderedPageBreak/>
              <w:t>—</w:t>
            </w:r>
          </w:p>
          <w:p w14:paraId="6341A136" w14:textId="77777777" w:rsidR="00245760" w:rsidRDefault="00245760" w:rsidP="00245760">
            <w:r w:rsidRPr="009043EC">
              <w:rPr>
                <w:b/>
                <w:bCs/>
              </w:rPr>
              <w:t>Concluding Observations</w:t>
            </w:r>
            <w:r>
              <w:rPr>
                <w:b/>
                <w:bCs/>
              </w:rPr>
              <w:t xml:space="preserve"> </w:t>
            </w:r>
            <w:r>
              <w:t>(2023):</w:t>
            </w:r>
          </w:p>
          <w:p w14:paraId="67D28442" w14:textId="77777777" w:rsidR="00245760" w:rsidRDefault="00245760" w:rsidP="00245760">
            <w:r>
              <w:lastRenderedPageBreak/>
              <w:t>“</w:t>
            </w:r>
            <w:r w:rsidRPr="009B30F7">
              <w:t>30</w:t>
            </w:r>
            <w:r w:rsidRPr="009B30F7">
              <w:rPr>
                <w:b/>
                <w:bCs/>
              </w:rPr>
              <w:t>. Recalling its previous recommendation (CEDAW/C/GEO/CO/4-5, para. 25), and in line with its general recommendation No. 23 (1997) on women in political and public life, the Committee recommends that the State party:</w:t>
            </w:r>
            <w:r w:rsidRPr="009B30F7">
              <w:t xml:space="preserve"> </w:t>
            </w:r>
          </w:p>
          <w:p w14:paraId="1228CA8C" w14:textId="77777777" w:rsidR="00245760" w:rsidRDefault="00245760" w:rsidP="00245760">
            <w:r w:rsidRPr="009B30F7">
              <w:t xml:space="preserve">(a) </w:t>
            </w:r>
            <w:r w:rsidRPr="009B30F7">
              <w:rPr>
                <w:b/>
                <w:bCs/>
              </w:rPr>
              <w:t xml:space="preserve">Introduce preferential recruitment of women and, as appropriate, adopt temporary special measures, such as quotas and a gender parity system, at all levels of government, the judiciary, academia, the foreign service and for secondment to international organizations, in particular at decision-making levels, which should include policies to promote and support women with disabilities, women belonging to ethnic minority groups and lesbian, bisexual, </w:t>
            </w:r>
            <w:r w:rsidRPr="009B30F7">
              <w:rPr>
                <w:b/>
                <w:bCs/>
              </w:rPr>
              <w:lastRenderedPageBreak/>
              <w:t>transgender and intersex women</w:t>
            </w:r>
            <w:r w:rsidRPr="009B30F7">
              <w:t>;</w:t>
            </w:r>
            <w:r>
              <w:t>”</w:t>
            </w:r>
            <w:r>
              <w:rPr>
                <w:rStyle w:val="FootnoteReference"/>
              </w:rPr>
              <w:footnoteReference w:id="141"/>
            </w:r>
          </w:p>
          <w:p w14:paraId="5499B88D" w14:textId="148EDA82" w:rsidR="00245760" w:rsidRPr="0085396F" w:rsidRDefault="00245760" w:rsidP="00714158">
            <w:pPr>
              <w:rPr>
                <w:b/>
                <w:bCs/>
              </w:rPr>
            </w:pPr>
          </w:p>
        </w:tc>
        <w:tc>
          <w:tcPr>
            <w:tcW w:w="903" w:type="pct"/>
            <w:shd w:val="clear" w:color="auto" w:fill="auto"/>
          </w:tcPr>
          <w:p w14:paraId="5E33BFAA" w14:textId="77777777" w:rsidR="004116DF" w:rsidRDefault="00056A05" w:rsidP="00714158">
            <w:r>
              <w:lastRenderedPageBreak/>
              <w:t>—</w:t>
            </w:r>
          </w:p>
          <w:p w14:paraId="2849CE58" w14:textId="7847A699" w:rsidR="00056A05" w:rsidRPr="00662CBC" w:rsidRDefault="00056A05" w:rsidP="00714158">
            <w:r>
              <w:t>“</w:t>
            </w:r>
            <w:r w:rsidRPr="00056A05">
              <w:t xml:space="preserve">In the Ministry of </w:t>
            </w:r>
            <w:proofErr w:type="spellStart"/>
            <w:r w:rsidRPr="00056A05">
              <w:t>Defence</w:t>
            </w:r>
            <w:proofErr w:type="spellEnd"/>
            <w:r w:rsidRPr="00056A05">
              <w:t xml:space="preserve"> 23% are women. In the military: 2% </w:t>
            </w:r>
            <w:r w:rsidRPr="00056A05">
              <w:lastRenderedPageBreak/>
              <w:t>of women are in decision making roles despite making up 8% of the armed forces</w:t>
            </w:r>
            <w:r>
              <w:t>”</w:t>
            </w:r>
            <w:r w:rsidR="006E480E" w:rsidRPr="005D2F5A">
              <w:rPr>
                <w:rStyle w:val="FootnoteReference"/>
              </w:rPr>
              <w:footnoteReference w:id="142"/>
            </w:r>
          </w:p>
        </w:tc>
        <w:tc>
          <w:tcPr>
            <w:tcW w:w="949" w:type="pct"/>
            <w:shd w:val="clear" w:color="auto" w:fill="auto"/>
          </w:tcPr>
          <w:p w14:paraId="503E69B5" w14:textId="09C97AF1" w:rsidR="00D16076" w:rsidRPr="00D16076" w:rsidRDefault="00D16076" w:rsidP="00300C58">
            <w:r>
              <w:rPr>
                <w:b/>
                <w:bCs/>
              </w:rPr>
              <w:lastRenderedPageBreak/>
              <w:t>Mandatory conscription for men, voluntary</w:t>
            </w:r>
            <w:r w:rsidR="00827623">
              <w:rPr>
                <w:b/>
                <w:bCs/>
              </w:rPr>
              <w:t xml:space="preserve"> for women</w:t>
            </w:r>
            <w:r w:rsidR="00827623" w:rsidRPr="00827623">
              <w:t>:</w:t>
            </w:r>
            <w:r>
              <w:rPr>
                <w:b/>
                <w:bCs/>
              </w:rPr>
              <w:t xml:space="preserve"> </w:t>
            </w:r>
          </w:p>
          <w:p w14:paraId="4FB700DF" w14:textId="41FE34DA" w:rsidR="004116DF" w:rsidRPr="00662CBC" w:rsidRDefault="00300C58" w:rsidP="00300C58">
            <w:r w:rsidRPr="00B93BD8">
              <w:lastRenderedPageBreak/>
              <w:t>“18-27 years of age for voluntary active duty military service; conscription abolished in 2016, but reinstated in 2017 for men 18 to 27 years of age; conscript service obligation is 12 months (2022)</w:t>
            </w:r>
            <w:r>
              <w:br/>
            </w:r>
            <w:r w:rsidRPr="00B93BD8">
              <w:rPr>
                <w:b/>
                <w:bCs/>
              </w:rPr>
              <w:t>note 1: </w:t>
            </w:r>
            <w:r w:rsidRPr="00B93BD8">
              <w:t>approximately 6-7,000 individuals are called up annually for conscription for service; approximately 25% enter the Defense Forces, while the remainder serve in the Ministry of Internal Affairs or as prison guards in the Ministry of Corrections</w:t>
            </w:r>
            <w:r>
              <w:br/>
            </w:r>
            <w:r w:rsidRPr="00B93BD8">
              <w:rPr>
                <w:b/>
                <w:bCs/>
              </w:rPr>
              <w:t>note 2:</w:t>
            </w:r>
            <w:r w:rsidRPr="00B93BD8">
              <w:t> as of 2019, women made up about 6% of the military's full-time personnel”</w:t>
            </w:r>
            <w:r w:rsidR="004116DF" w:rsidRPr="005D2F5A">
              <w:rPr>
                <w:rStyle w:val="FootnoteReference"/>
              </w:rPr>
              <w:footnoteReference w:id="143"/>
            </w:r>
          </w:p>
        </w:tc>
        <w:tc>
          <w:tcPr>
            <w:tcW w:w="677" w:type="pct"/>
            <w:shd w:val="clear" w:color="auto" w:fill="auto"/>
          </w:tcPr>
          <w:p w14:paraId="6EC7D93A" w14:textId="311D2982" w:rsidR="004116DF" w:rsidRDefault="00000000" w:rsidP="00714158">
            <w:hyperlink r:id="rId53" w:history="1">
              <w:r w:rsidR="006A6897" w:rsidRPr="00A467AF">
                <w:rPr>
                  <w:rStyle w:val="Hyperlink"/>
                  <w:b/>
                  <w:bCs/>
                </w:rPr>
                <w:t>NAP</w:t>
              </w:r>
              <w:r w:rsidR="00A467AF" w:rsidRPr="00A467AF">
                <w:rPr>
                  <w:rStyle w:val="Hyperlink"/>
                  <w:b/>
                  <w:bCs/>
                </w:rPr>
                <w:t xml:space="preserve"> 2012-2015</w:t>
              </w:r>
              <w:r w:rsidR="00D43C7F" w:rsidRPr="00A467AF">
                <w:rPr>
                  <w:rStyle w:val="Hyperlink"/>
                </w:rPr>
                <w:t xml:space="preserve"> (2011)</w:t>
              </w:r>
            </w:hyperlink>
          </w:p>
          <w:p w14:paraId="1542D649" w14:textId="22DE614B" w:rsidR="00D43C7F" w:rsidRPr="005D2F5A" w:rsidRDefault="00000000" w:rsidP="00714158">
            <w:hyperlink r:id="rId54" w:history="1">
              <w:r w:rsidR="001118D9" w:rsidRPr="00A42B0D">
                <w:rPr>
                  <w:rStyle w:val="Hyperlink"/>
                  <w:b/>
                  <w:bCs/>
                </w:rPr>
                <w:t>NAP</w:t>
              </w:r>
              <w:r w:rsidR="00A42B0D" w:rsidRPr="00A42B0D">
                <w:rPr>
                  <w:rStyle w:val="Hyperlink"/>
                  <w:b/>
                  <w:bCs/>
                </w:rPr>
                <w:t xml:space="preserve"> 2016-2017</w:t>
              </w:r>
              <w:r w:rsidR="001118D9" w:rsidRPr="00A42B0D">
                <w:rPr>
                  <w:rStyle w:val="Hyperlink"/>
                </w:rPr>
                <w:t xml:space="preserve"> </w:t>
              </w:r>
              <w:r w:rsidR="00D43C7F" w:rsidRPr="00A42B0D">
                <w:rPr>
                  <w:rStyle w:val="Hyperlink"/>
                </w:rPr>
                <w:t>(2016)</w:t>
              </w:r>
            </w:hyperlink>
          </w:p>
          <w:p w14:paraId="421A80B6" w14:textId="07916E8B" w:rsidR="00A42B0D" w:rsidRDefault="00000000" w:rsidP="00A42B0D">
            <w:hyperlink r:id="rId55" w:history="1">
              <w:r w:rsidR="001118D9" w:rsidRPr="00AC65E1">
                <w:rPr>
                  <w:rStyle w:val="Hyperlink"/>
                  <w:b/>
                  <w:bCs/>
                </w:rPr>
                <w:t>NAP</w:t>
              </w:r>
              <w:r w:rsidR="00AC65E1" w:rsidRPr="00AC65E1">
                <w:rPr>
                  <w:rStyle w:val="Hyperlink"/>
                  <w:b/>
                  <w:bCs/>
                </w:rPr>
                <w:t xml:space="preserve"> 2018-202</w:t>
              </w:r>
              <w:r w:rsidR="00D13A20">
                <w:rPr>
                  <w:rStyle w:val="Hyperlink"/>
                  <w:b/>
                  <w:bCs/>
                </w:rPr>
                <w:t>0</w:t>
              </w:r>
              <w:r w:rsidR="001118D9" w:rsidRPr="00AC65E1">
                <w:rPr>
                  <w:rStyle w:val="Hyperlink"/>
                </w:rPr>
                <w:t xml:space="preserve"> </w:t>
              </w:r>
              <w:r w:rsidR="00D43C7F" w:rsidRPr="00AC65E1">
                <w:rPr>
                  <w:rStyle w:val="Hyperlink"/>
                </w:rPr>
                <w:t>(2018)</w:t>
              </w:r>
            </w:hyperlink>
          </w:p>
          <w:p w14:paraId="3EC6D345" w14:textId="77777777" w:rsidR="00C8609F" w:rsidRDefault="00A42B0D" w:rsidP="00C8609F">
            <w:r>
              <w:t>D</w:t>
            </w:r>
            <w:r w:rsidR="005A7203" w:rsidRPr="005A7203">
              <w:t>ominant focus is prevention, not p</w:t>
            </w:r>
            <w:r w:rsidR="005A7203">
              <w:t>articipation</w:t>
            </w:r>
            <w:r w:rsidR="005A7203" w:rsidRPr="005D2F5A">
              <w:rPr>
                <w:rStyle w:val="FootnoteReference"/>
              </w:rPr>
              <w:footnoteReference w:id="144"/>
            </w:r>
          </w:p>
          <w:p w14:paraId="213BA6CA" w14:textId="6CA3D415" w:rsidR="005141AA" w:rsidRDefault="00C8609F" w:rsidP="00C8609F">
            <w:r>
              <w:t>T</w:t>
            </w:r>
            <w:r w:rsidR="005141AA">
              <w:t xml:space="preserve">he NAP has </w:t>
            </w:r>
            <w:r w:rsidR="005141AA">
              <w:rPr>
                <w:b/>
                <w:bCs/>
              </w:rPr>
              <w:t>quotas</w:t>
            </w:r>
            <w:r w:rsidR="000914C3">
              <w:rPr>
                <w:b/>
                <w:bCs/>
              </w:rPr>
              <w:t xml:space="preserve"> </w:t>
            </w:r>
            <w:r w:rsidR="000914C3">
              <w:t>and clear objectives</w:t>
            </w:r>
            <w:r w:rsidR="005141AA">
              <w:t xml:space="preserve">: </w:t>
            </w:r>
            <w:r w:rsidR="000914C3" w:rsidRPr="005D2F5A">
              <w:rPr>
                <w:rStyle w:val="FootnoteReference"/>
              </w:rPr>
              <w:footnoteReference w:id="145"/>
            </w:r>
          </w:p>
          <w:p w14:paraId="2382DA65" w14:textId="086A8C9E" w:rsidR="005141AA" w:rsidRDefault="00DC5F41" w:rsidP="005141AA">
            <w:pPr>
              <w:pStyle w:val="ListParagraph"/>
              <w:numPr>
                <w:ilvl w:val="0"/>
                <w:numId w:val="17"/>
              </w:numPr>
            </w:pPr>
            <w:r w:rsidRPr="00DC5F41">
              <w:t xml:space="preserve">1.1.d: </w:t>
            </w:r>
            <w:r w:rsidR="00F862A9" w:rsidRPr="00F862A9">
              <w:t xml:space="preserve">Share (%) of women in </w:t>
            </w:r>
            <w:proofErr w:type="spellStart"/>
            <w:r w:rsidR="00F862A9" w:rsidRPr="00F862A9">
              <w:t>decisionmaking</w:t>
            </w:r>
            <w:proofErr w:type="spellEnd"/>
            <w:r w:rsidR="00F862A9" w:rsidRPr="00F862A9">
              <w:t xml:space="preserve"> positions (as compared to men)</w:t>
            </w:r>
            <w:r w:rsidR="00F862A9">
              <w:br/>
            </w:r>
            <w:r w:rsidR="00F862A9" w:rsidRPr="00F862A9">
              <w:rPr>
                <w:b/>
                <w:bCs/>
              </w:rPr>
              <w:t>Baseline</w:t>
            </w:r>
            <w:r w:rsidR="00F862A9" w:rsidRPr="00F862A9">
              <w:t xml:space="preserve">: 32% in the Ministry of </w:t>
            </w:r>
            <w:proofErr w:type="spellStart"/>
            <w:r w:rsidR="00F862A9" w:rsidRPr="00F862A9">
              <w:t>Defence</w:t>
            </w:r>
            <w:proofErr w:type="spellEnd"/>
            <w:r w:rsidR="00F862A9" w:rsidRPr="00F862A9">
              <w:t xml:space="preserve"> of Georgia; and 3% in the Ministry of Internal Affairs of Georgia (2017) </w:t>
            </w:r>
            <w:r w:rsidR="00F862A9">
              <w:br/>
            </w:r>
            <w:r w:rsidR="00F862A9" w:rsidRPr="00F862A9">
              <w:rPr>
                <w:b/>
                <w:bCs/>
              </w:rPr>
              <w:t>Target</w:t>
            </w:r>
            <w:r w:rsidR="00F862A9" w:rsidRPr="00F862A9">
              <w:t xml:space="preserve">: Same as baseline or </w:t>
            </w:r>
            <w:proofErr w:type="gramStart"/>
            <w:r w:rsidR="00F862A9" w:rsidRPr="00F862A9">
              <w:t>higher</w:t>
            </w:r>
            <w:proofErr w:type="gramEnd"/>
          </w:p>
          <w:p w14:paraId="7A17BD6A" w14:textId="4406D286" w:rsidR="00F862A9" w:rsidRDefault="00DC5F41" w:rsidP="005141AA">
            <w:pPr>
              <w:pStyle w:val="ListParagraph"/>
              <w:numPr>
                <w:ilvl w:val="0"/>
                <w:numId w:val="17"/>
              </w:numPr>
            </w:pPr>
            <w:r w:rsidRPr="00DC5F41">
              <w:t xml:space="preserve">1.2.a: Share (%) of women participating in the Geneva </w:t>
            </w:r>
            <w:r w:rsidRPr="00DC5F41">
              <w:lastRenderedPageBreak/>
              <w:t>International Discussions and Incident Prevention and Response Mechanism</w:t>
            </w:r>
            <w:r w:rsidR="003705EE">
              <w:br/>
            </w:r>
            <w:r w:rsidR="003705EE" w:rsidRPr="003705EE">
              <w:rPr>
                <w:b/>
                <w:bCs/>
              </w:rPr>
              <w:t>Baseline</w:t>
            </w:r>
            <w:r w:rsidR="003705EE">
              <w:t xml:space="preserve">: 40% in the Geneva International Discussions; and 33% in the Incident Prevention and Response Mechanism (2017) </w:t>
            </w:r>
            <w:r w:rsidR="003705EE">
              <w:br/>
            </w:r>
            <w:r w:rsidR="003705EE" w:rsidRPr="003705EE">
              <w:rPr>
                <w:b/>
                <w:bCs/>
              </w:rPr>
              <w:t>Target</w:t>
            </w:r>
            <w:r w:rsidR="003705EE">
              <w:t xml:space="preserve">: Same as baseline or higher by 2020 Source: Relevant institutions involved in negotiation </w:t>
            </w:r>
            <w:proofErr w:type="gramStart"/>
            <w:r w:rsidR="003705EE">
              <w:t>formats</w:t>
            </w:r>
            <w:proofErr w:type="gramEnd"/>
          </w:p>
          <w:p w14:paraId="22ABA2A8" w14:textId="61C75456" w:rsidR="008148B7" w:rsidRPr="005141AA" w:rsidRDefault="00465741" w:rsidP="00465741">
            <w:pPr>
              <w:pStyle w:val="ListParagraph"/>
              <w:numPr>
                <w:ilvl w:val="0"/>
                <w:numId w:val="17"/>
              </w:numPr>
            </w:pPr>
            <w:r w:rsidRPr="00465741">
              <w:t xml:space="preserve">1.2.b: Number of women negotiators trained </w:t>
            </w:r>
            <w:r>
              <w:br/>
            </w:r>
            <w:r w:rsidRPr="00465741">
              <w:rPr>
                <w:b/>
                <w:bCs/>
              </w:rPr>
              <w:t>Baseline</w:t>
            </w:r>
            <w:r w:rsidRPr="00465741">
              <w:t xml:space="preserve">: 20 </w:t>
            </w:r>
            <w:r w:rsidR="00230FE9">
              <w:br/>
            </w:r>
            <w:r w:rsidRPr="00230FE9">
              <w:rPr>
                <w:b/>
                <w:bCs/>
              </w:rPr>
              <w:t>Target</w:t>
            </w:r>
            <w:r w:rsidRPr="00465741">
              <w:t xml:space="preserve">: Same as baseline or more by </w:t>
            </w:r>
            <w:proofErr w:type="gramStart"/>
            <w:r w:rsidRPr="00465741">
              <w:t>2020</w:t>
            </w:r>
            <w:proofErr w:type="gramEnd"/>
          </w:p>
          <w:p w14:paraId="327DC6A2" w14:textId="4AE51180" w:rsidR="001118D9" w:rsidRPr="005A7203" w:rsidRDefault="001118D9" w:rsidP="00714158"/>
        </w:tc>
      </w:tr>
      <w:tr w:rsidR="00CB5BD0" w:rsidRPr="00662CBC" w14:paraId="4C623C2C" w14:textId="77777777" w:rsidTr="00F37D6B">
        <w:tc>
          <w:tcPr>
            <w:tcW w:w="139" w:type="pct"/>
            <w:shd w:val="clear" w:color="auto" w:fill="auto"/>
          </w:tcPr>
          <w:p w14:paraId="32EB1E24" w14:textId="77777777" w:rsidR="004116DF" w:rsidRPr="005A7203"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00F00E85" w14:textId="77777777" w:rsidR="004116DF" w:rsidRPr="00662CBC" w:rsidRDefault="004116DF" w:rsidP="006064D6">
            <w:pPr>
              <w:pStyle w:val="Heading3"/>
            </w:pPr>
            <w:bookmarkStart w:id="22" w:name="_Toc132806706"/>
            <w:r w:rsidRPr="00662CBC">
              <w:t>Germany</w:t>
            </w:r>
            <w:bookmarkEnd w:id="22"/>
            <w:r w:rsidRPr="00662CBC">
              <w:t xml:space="preserve"> </w:t>
            </w:r>
          </w:p>
          <w:p w14:paraId="1469A3B7" w14:textId="77777777" w:rsidR="004116DF" w:rsidRPr="00662CBC" w:rsidRDefault="004116DF" w:rsidP="006064D6">
            <w:pPr>
              <w:rPr>
                <w:b/>
                <w:bCs/>
                <w:szCs w:val="20"/>
              </w:rPr>
            </w:pPr>
          </w:p>
        </w:tc>
        <w:tc>
          <w:tcPr>
            <w:tcW w:w="855" w:type="pct"/>
            <w:shd w:val="clear" w:color="auto" w:fill="auto"/>
          </w:tcPr>
          <w:p w14:paraId="37D1E89B" w14:textId="300A936A" w:rsidR="004116DF" w:rsidRPr="00662CBC" w:rsidRDefault="004116DF" w:rsidP="00714158">
            <w:r w:rsidRPr="00662CBC">
              <w:t>s. NDC submitted by EU</w:t>
            </w:r>
          </w:p>
        </w:tc>
        <w:tc>
          <w:tcPr>
            <w:tcW w:w="1023" w:type="pct"/>
            <w:shd w:val="clear" w:color="auto" w:fill="auto"/>
          </w:tcPr>
          <w:p w14:paraId="7FE45FED" w14:textId="0A05FDD6" w:rsidR="00A8528A" w:rsidRDefault="00CE486B" w:rsidP="00A8528A">
            <w:pPr>
              <w:rPr>
                <w:b/>
              </w:rPr>
            </w:pPr>
            <w:r>
              <w:rPr>
                <w:b/>
              </w:rPr>
              <w:t>Legislated quotas</w:t>
            </w:r>
            <w:r w:rsidR="00695125">
              <w:rPr>
                <w:b/>
              </w:rPr>
              <w:t xml:space="preserve"> </w:t>
            </w:r>
            <w:r w:rsidR="005C3C48">
              <w:rPr>
                <w:b/>
              </w:rPr>
              <w:t>–</w:t>
            </w:r>
            <w:r w:rsidR="00695125">
              <w:rPr>
                <w:b/>
              </w:rPr>
              <w:t xml:space="preserve"> </w:t>
            </w:r>
            <w:r w:rsidR="005C3C48">
              <w:rPr>
                <w:b/>
              </w:rPr>
              <w:t xml:space="preserve">intersectionality </w:t>
            </w:r>
            <w:r w:rsidR="005C3C48">
              <w:rPr>
                <w:bCs/>
              </w:rPr>
              <w:t>-</w:t>
            </w:r>
            <w:r w:rsidR="005C3C48" w:rsidRPr="005C3C48">
              <w:rPr>
                <w:b/>
              </w:rPr>
              <w:t xml:space="preserve"> </w:t>
            </w:r>
            <w:hyperlink r:id="rId56" w:history="1">
              <w:r w:rsidR="005C3C48" w:rsidRPr="00C13F37">
                <w:rPr>
                  <w:rStyle w:val="Hyperlink"/>
                  <w:b/>
                </w:rPr>
                <w:t>Federal Gender Equality Act</w:t>
              </w:r>
            </w:hyperlink>
            <w:r w:rsidRPr="005D2F5A">
              <w:rPr>
                <w:rStyle w:val="FootnoteReference"/>
              </w:rPr>
              <w:footnoteReference w:id="146"/>
            </w:r>
          </w:p>
          <w:p w14:paraId="7219CEA3" w14:textId="457EF83F" w:rsidR="005326E0" w:rsidRDefault="00FC03F6" w:rsidP="005326E0">
            <w:pPr>
              <w:rPr>
                <w:bCs/>
              </w:rPr>
            </w:pPr>
            <w:r w:rsidRPr="00FC03F6">
              <w:rPr>
                <w:bCs/>
              </w:rPr>
              <w:t>Object</w:t>
            </w:r>
            <w:r>
              <w:rPr>
                <w:bCs/>
              </w:rPr>
              <w:t>ive to achieve “parity”</w:t>
            </w:r>
            <w:r w:rsidR="005D2F5A">
              <w:rPr>
                <w:bCs/>
              </w:rPr>
              <w:t xml:space="preserve"> in leadership positions</w:t>
            </w:r>
            <w:r>
              <w:rPr>
                <w:bCs/>
              </w:rPr>
              <w:t xml:space="preserve"> by 2025 (parity is not defined) </w:t>
            </w:r>
            <w:r w:rsidR="00B25B4B">
              <w:rPr>
                <w:bCs/>
              </w:rPr>
              <w:t>(</w:t>
            </w:r>
            <w:r w:rsidR="00695125">
              <w:rPr>
                <w:bCs/>
              </w:rPr>
              <w:t>§1 II) and specific attention is paid to women with disability (</w:t>
            </w:r>
            <w:r w:rsidR="00BC46EE">
              <w:rPr>
                <w:bCs/>
              </w:rPr>
              <w:t>§1 III)</w:t>
            </w:r>
            <w:r w:rsidR="005B774D">
              <w:rPr>
                <w:bCs/>
              </w:rPr>
              <w:t>.</w:t>
            </w:r>
          </w:p>
          <w:p w14:paraId="127C9092" w14:textId="224A09ED" w:rsidR="005326E0" w:rsidRDefault="005326E0" w:rsidP="005326E0">
            <w:pPr>
              <w:rPr>
                <w:bCs/>
              </w:rPr>
            </w:pPr>
            <w:r>
              <w:rPr>
                <w:bCs/>
              </w:rPr>
              <w:t xml:space="preserve">§8: </w:t>
            </w:r>
            <w:r w:rsidR="007D6A58" w:rsidRPr="007D6A58">
              <w:rPr>
                <w:bCs/>
              </w:rPr>
              <w:t>If women are underrepresented (according to §3(9) women are underrepresented when their number is under 50%; for odd numbers, if the difference between men and women's representation is 2 persons)</w:t>
            </w:r>
            <w:r w:rsidR="007D6A58">
              <w:rPr>
                <w:bCs/>
              </w:rPr>
              <w:t xml:space="preserve"> </w:t>
            </w:r>
            <w:r w:rsidR="006A7B47" w:rsidRPr="006A7B47">
              <w:rPr>
                <w:bCs/>
              </w:rPr>
              <w:t>affirmative action should prioritize women competing for the same position</w:t>
            </w:r>
            <w:r w:rsidR="00955A52">
              <w:rPr>
                <w:bCs/>
              </w:rPr>
              <w:t xml:space="preserve"> </w:t>
            </w:r>
            <w:r w:rsidR="003C4F66">
              <w:rPr>
                <w:bCs/>
              </w:rPr>
              <w:t>when</w:t>
            </w:r>
            <w:r w:rsidR="00955A52">
              <w:rPr>
                <w:bCs/>
              </w:rPr>
              <w:t xml:space="preserve"> </w:t>
            </w:r>
            <w:r w:rsidR="00FE53F9">
              <w:rPr>
                <w:bCs/>
              </w:rPr>
              <w:t xml:space="preserve">1) </w:t>
            </w:r>
            <w:r w:rsidR="003C4F66">
              <w:rPr>
                <w:bCs/>
              </w:rPr>
              <w:t xml:space="preserve">hiring for </w:t>
            </w:r>
            <w:r w:rsidR="00FE53F9">
              <w:rPr>
                <w:bCs/>
              </w:rPr>
              <w:t xml:space="preserve">training position, 2) hiring, </w:t>
            </w:r>
            <w:r w:rsidR="003C4F66">
              <w:rPr>
                <w:bCs/>
              </w:rPr>
              <w:t>3</w:t>
            </w:r>
            <w:r w:rsidR="00FE53F9">
              <w:rPr>
                <w:bCs/>
              </w:rPr>
              <w:t>) promotion</w:t>
            </w:r>
            <w:r w:rsidR="003C4F66">
              <w:rPr>
                <w:bCs/>
              </w:rPr>
              <w:t xml:space="preserve">, 4) transfers which are subject to a </w:t>
            </w:r>
            <w:r w:rsidR="000D6641">
              <w:rPr>
                <w:bCs/>
              </w:rPr>
              <w:t xml:space="preserve">competition, 5) </w:t>
            </w:r>
            <w:r w:rsidR="007A7B7B" w:rsidRPr="007A7B7B">
              <w:rPr>
                <w:bCs/>
              </w:rPr>
              <w:t xml:space="preserve">for attributing secondments if they </w:t>
            </w:r>
            <w:r w:rsidR="007A7B7B" w:rsidRPr="007A7B7B">
              <w:rPr>
                <w:bCs/>
              </w:rPr>
              <w:lastRenderedPageBreak/>
              <w:t>are longer than 3 months and subject to a competition</w:t>
            </w:r>
            <w:r w:rsidR="007A7B7B">
              <w:rPr>
                <w:bCs/>
              </w:rPr>
              <w:t>.</w:t>
            </w:r>
          </w:p>
          <w:p w14:paraId="6B891994" w14:textId="77777777" w:rsidR="00955A52" w:rsidRPr="005326E0" w:rsidRDefault="00955A52" w:rsidP="005326E0">
            <w:pPr>
              <w:rPr>
                <w:bCs/>
              </w:rPr>
            </w:pPr>
          </w:p>
          <w:p w14:paraId="6EA62B41" w14:textId="1A97774F" w:rsidR="00A8528A" w:rsidRDefault="007A7B7B" w:rsidP="00A8528A">
            <w:r w:rsidRPr="007A7B7B">
              <w:rPr>
                <w:b/>
                <w:bCs/>
              </w:rPr>
              <w:t>Note</w:t>
            </w:r>
            <w:r>
              <w:t xml:space="preserve">: The new German government leads a </w:t>
            </w:r>
            <w:r w:rsidR="00A8528A" w:rsidRPr="005E2C09">
              <w:rPr>
                <w:b/>
                <w:bCs/>
              </w:rPr>
              <w:t>Feminist Foreign Policy</w:t>
            </w:r>
          </w:p>
          <w:p w14:paraId="0F44EB11" w14:textId="61F31957" w:rsidR="005E2C09" w:rsidRPr="00662CBC" w:rsidRDefault="005E2C09" w:rsidP="00A8528A">
            <w:r>
              <w:t>“</w:t>
            </w:r>
            <w:proofErr w:type="gramStart"/>
            <w:r w:rsidRPr="005E2C09">
              <w:t>focus</w:t>
            </w:r>
            <w:proofErr w:type="gramEnd"/>
            <w:r w:rsidRPr="005E2C09">
              <w:t xml:space="preserve"> on women and </w:t>
            </w:r>
            <w:proofErr w:type="spellStart"/>
            <w:r w:rsidRPr="005E2C09">
              <w:t>marginalised</w:t>
            </w:r>
            <w:proofErr w:type="spellEnd"/>
            <w:r w:rsidRPr="005E2C09">
              <w:t xml:space="preserve"> groups’ rights, representation and adequate resources</w:t>
            </w:r>
            <w:r>
              <w:t>”</w:t>
            </w:r>
            <w:r w:rsidR="00AF53C1">
              <w:rPr>
                <w:rStyle w:val="FootnoteReference"/>
              </w:rPr>
              <w:footnoteReference w:id="147"/>
            </w:r>
          </w:p>
        </w:tc>
        <w:tc>
          <w:tcPr>
            <w:tcW w:w="903" w:type="pct"/>
            <w:shd w:val="clear" w:color="auto" w:fill="auto"/>
          </w:tcPr>
          <w:p w14:paraId="2406C485" w14:textId="77777777" w:rsidR="004116DF" w:rsidRDefault="00C13F37" w:rsidP="00714158">
            <w:pPr>
              <w:rPr>
                <w:b/>
                <w:bCs/>
              </w:rPr>
            </w:pPr>
            <w:r>
              <w:rPr>
                <w:b/>
                <w:bCs/>
              </w:rPr>
              <w:lastRenderedPageBreak/>
              <w:t xml:space="preserve">Affirmative action </w:t>
            </w:r>
          </w:p>
          <w:p w14:paraId="77BFDBFE" w14:textId="0C8CA76D" w:rsidR="0083136C" w:rsidRDefault="00000000" w:rsidP="00624997">
            <w:pPr>
              <w:rPr>
                <w:bCs/>
              </w:rPr>
            </w:pPr>
            <w:hyperlink r:id="rId57" w:history="1">
              <w:r w:rsidR="00C13F37" w:rsidRPr="00C13F37">
                <w:rPr>
                  <w:rStyle w:val="Hyperlink"/>
                  <w:b/>
                </w:rPr>
                <w:t>Federal Gender Equality Act</w:t>
              </w:r>
            </w:hyperlink>
            <w:r w:rsidR="00C13F37" w:rsidRPr="005D2F5A">
              <w:rPr>
                <w:rStyle w:val="FootnoteReference"/>
              </w:rPr>
              <w:footnoteReference w:id="148"/>
            </w:r>
            <w:r w:rsidR="00C13F37">
              <w:rPr>
                <w:b/>
              </w:rPr>
              <w:t xml:space="preserve"> </w:t>
            </w:r>
            <w:r w:rsidR="00C13F37" w:rsidRPr="00C13F37">
              <w:rPr>
                <w:bCs/>
              </w:rPr>
              <w:t>applies</w:t>
            </w:r>
            <w:r w:rsidR="00C13F37">
              <w:rPr>
                <w:bCs/>
              </w:rPr>
              <w:t xml:space="preserve"> to </w:t>
            </w:r>
            <w:r w:rsidR="00DF591F">
              <w:rPr>
                <w:bCs/>
              </w:rPr>
              <w:t>armed forces (§3</w:t>
            </w:r>
            <w:r w:rsidR="00BE216E">
              <w:rPr>
                <w:bCs/>
              </w:rPr>
              <w:t>(5)(b))</w:t>
            </w:r>
            <w:r w:rsidR="00C13F37">
              <w:rPr>
                <w:bCs/>
              </w:rPr>
              <w:t xml:space="preserve"> </w:t>
            </w:r>
            <w:r w:rsidR="0083136C">
              <w:rPr>
                <w:bCs/>
              </w:rPr>
              <w:t xml:space="preserve">— this law applies to leadership </w:t>
            </w:r>
            <w:proofErr w:type="gramStart"/>
            <w:r w:rsidR="0083136C">
              <w:rPr>
                <w:bCs/>
              </w:rPr>
              <w:t>positions</w:t>
            </w:r>
            <w:proofErr w:type="gramEnd"/>
            <w:r w:rsidR="0083136C">
              <w:rPr>
                <w:bCs/>
              </w:rPr>
              <w:t xml:space="preserve"> </w:t>
            </w:r>
          </w:p>
          <w:p w14:paraId="35953AFB" w14:textId="0F52F0C6" w:rsidR="00CF6218" w:rsidRPr="00CF6218" w:rsidRDefault="00CF6218" w:rsidP="00624997">
            <w:pPr>
              <w:rPr>
                <w:b/>
              </w:rPr>
            </w:pPr>
            <w:r w:rsidRPr="00CF6218">
              <w:rPr>
                <w:b/>
              </w:rPr>
              <w:t xml:space="preserve">Not </w:t>
            </w:r>
            <w:r>
              <w:rPr>
                <w:b/>
              </w:rPr>
              <w:t>in general</w:t>
            </w:r>
          </w:p>
          <w:p w14:paraId="0DA0B33D" w14:textId="0F7826A7" w:rsidR="0001623A" w:rsidRPr="003E13DB" w:rsidRDefault="00624997" w:rsidP="00CF6218">
            <w:r w:rsidRPr="003E13DB">
              <w:t>“There is no quota system for men or women in the GAF</w:t>
            </w:r>
            <w:r w:rsidRPr="00624997">
              <w:t xml:space="preserve"> [in general]</w:t>
            </w:r>
            <w:r w:rsidRPr="003E13DB">
              <w:t>.</w:t>
            </w:r>
            <w:r w:rsidR="00C871A2" w:rsidRPr="003E13DB">
              <w:t xml:space="preserve"> There are no restrictions on the incorporation of women in the armed forces, nor are there any restrictions that apply only to operations</w:t>
            </w:r>
            <w:r w:rsidRPr="003E13DB">
              <w:t>”</w:t>
            </w:r>
            <w:r>
              <w:rPr>
                <w:rStyle w:val="FootnoteReference"/>
              </w:rPr>
              <w:footnoteReference w:id="149"/>
            </w:r>
            <w:r>
              <w:t xml:space="preserve"> </w:t>
            </w:r>
          </w:p>
          <w:p w14:paraId="082B25AC" w14:textId="77777777" w:rsidR="0001623A" w:rsidRDefault="0001623A" w:rsidP="0001623A">
            <w:r>
              <w:rPr>
                <w:b/>
                <w:bCs/>
              </w:rPr>
              <w:t>Note 1</w:t>
            </w:r>
            <w:r>
              <w:t xml:space="preserve">: </w:t>
            </w:r>
            <w:r>
              <w:rPr>
                <w:b/>
                <w:bCs/>
              </w:rPr>
              <w:t xml:space="preserve">Institutional mechanism to integrate </w:t>
            </w:r>
            <w:proofErr w:type="gramStart"/>
            <w:r>
              <w:rPr>
                <w:b/>
                <w:bCs/>
              </w:rPr>
              <w:t>gender</w:t>
            </w:r>
            <w:proofErr w:type="gramEnd"/>
            <w:r>
              <w:rPr>
                <w:b/>
                <w:bCs/>
              </w:rPr>
              <w:t xml:space="preserve"> </w:t>
            </w:r>
          </w:p>
          <w:p w14:paraId="61A6F06E" w14:textId="4EE5BA8C" w:rsidR="0083136C" w:rsidRPr="001F21D2" w:rsidRDefault="0001623A" w:rsidP="001F21D2">
            <w:r>
              <w:t>“</w:t>
            </w:r>
            <w:r w:rsidRPr="003E13DB">
              <w:t xml:space="preserve">There is a military entity that deals with integration of gender perspectives in the Armed Forces. The Federal Ministry of </w:t>
            </w:r>
            <w:r w:rsidRPr="003E13DB">
              <w:lastRenderedPageBreak/>
              <w:t>Defence (FMoD) Directorate-General for Planning has a staff element for equal opportunities, diversity and inclusion. Its core mission is to accelerate the establishment of equal opportunities.</w:t>
            </w:r>
            <w:r w:rsidRPr="005845C8">
              <w:t>”</w:t>
            </w:r>
            <w:r w:rsidRPr="005845C8">
              <w:rPr>
                <w:rStyle w:val="FootnoteReference"/>
              </w:rPr>
              <w:t xml:space="preserve"> </w:t>
            </w:r>
            <w:r>
              <w:rPr>
                <w:rStyle w:val="FootnoteReference"/>
              </w:rPr>
              <w:footnoteReference w:id="150"/>
            </w:r>
          </w:p>
          <w:p w14:paraId="665D2D51" w14:textId="172025BA" w:rsidR="001F21D2" w:rsidRDefault="001F21D2" w:rsidP="001F21D2">
            <w:r>
              <w:rPr>
                <w:b/>
                <w:bCs/>
              </w:rPr>
              <w:t>Note 2: Military equipment and uniform for both sexes</w:t>
            </w:r>
            <w:r>
              <w:t>:</w:t>
            </w:r>
          </w:p>
          <w:p w14:paraId="1FA07AD5" w14:textId="77777777" w:rsidR="001F21D2" w:rsidRPr="003E13DB" w:rsidRDefault="001F21D2" w:rsidP="001F21D2">
            <w:r w:rsidRPr="005845C8">
              <w:t>“</w:t>
            </w:r>
            <w:r w:rsidRPr="003E13DB">
              <w:t>Military equipment is adapted for both women and men. Weapons systems have long service lives; systems that were developed long before the Bundeswehr started to recruit women are still in use at present. Additionally, uniforms are adapted for both women and men. Combat gear includes various items that have either been developed specifically for servicewomen or have been adapted for the women physique.</w:t>
            </w:r>
            <w:r w:rsidRPr="005845C8">
              <w:t>”</w:t>
            </w:r>
            <w:r w:rsidRPr="005845C8">
              <w:rPr>
                <w:rStyle w:val="FootnoteReference"/>
              </w:rPr>
              <w:t xml:space="preserve"> </w:t>
            </w:r>
            <w:r>
              <w:rPr>
                <w:rStyle w:val="FootnoteReference"/>
              </w:rPr>
              <w:footnoteReference w:id="151"/>
            </w:r>
          </w:p>
          <w:p w14:paraId="61FAB05F" w14:textId="6A950143" w:rsidR="00CB4337" w:rsidRPr="001A12EB" w:rsidRDefault="00CB4337" w:rsidP="00714158"/>
        </w:tc>
        <w:tc>
          <w:tcPr>
            <w:tcW w:w="949" w:type="pct"/>
            <w:shd w:val="clear" w:color="auto" w:fill="auto"/>
          </w:tcPr>
          <w:p w14:paraId="736AFC5E" w14:textId="77777777" w:rsidR="00752CE5" w:rsidRDefault="00752CE5" w:rsidP="004D763B">
            <w:pPr>
              <w:rPr>
                <w:b/>
                <w:bCs/>
              </w:rPr>
            </w:pPr>
            <w:r>
              <w:rPr>
                <w:b/>
                <w:bCs/>
              </w:rPr>
              <w:lastRenderedPageBreak/>
              <w:t xml:space="preserve">Voluntary conscription </w:t>
            </w:r>
          </w:p>
          <w:p w14:paraId="189D244E" w14:textId="77777777" w:rsidR="004116DF" w:rsidRDefault="004D763B" w:rsidP="004D763B">
            <w:r>
              <w:t>“</w:t>
            </w:r>
            <w:r w:rsidRPr="00B93BD8">
              <w:t>17-23 years of age for male and female voluntary military service (must have completed compulsory full-time education and have German citizenship); conscription ended July 2011; service obligation 7-23 months or 12 years; women have been eligible for voluntary service in all military branches and positions since 2001 (2022)</w:t>
            </w:r>
            <w:r>
              <w:br/>
            </w:r>
            <w:r w:rsidRPr="00B93BD8">
              <w:rPr>
                <w:b/>
                <w:bCs/>
              </w:rPr>
              <w:t>note:</w:t>
            </w:r>
            <w:r w:rsidRPr="00B93BD8">
              <w:t> in 2021, women accounted for about 12% of the German military</w:t>
            </w:r>
            <w:r>
              <w:t>”</w:t>
            </w:r>
            <w:r w:rsidR="004116DF" w:rsidRPr="005D2F5A">
              <w:rPr>
                <w:rStyle w:val="FootnoteReference"/>
              </w:rPr>
              <w:footnoteReference w:id="152"/>
            </w:r>
          </w:p>
          <w:p w14:paraId="2D7C5AFE" w14:textId="7A3EC9AE" w:rsidR="00752CE5" w:rsidRPr="00752CE5" w:rsidRDefault="00752CE5" w:rsidP="004D763B">
            <w:r>
              <w:rPr>
                <w:b/>
                <w:bCs/>
              </w:rPr>
              <w:t>Note 2</w:t>
            </w:r>
            <w:r>
              <w:t xml:space="preserve">: </w:t>
            </w:r>
            <w:r w:rsidR="004E5D49">
              <w:t xml:space="preserve">the Basic Law (the German Constitution) bars </w:t>
            </w:r>
            <w:r w:rsidR="006C29A4">
              <w:t xml:space="preserve">women from </w:t>
            </w:r>
            <w:r w:rsidR="00424C9D">
              <w:t xml:space="preserve">compulsory </w:t>
            </w:r>
            <w:r w:rsidR="00BE7FD3">
              <w:t>military service (</w:t>
            </w:r>
            <w:r w:rsidR="00156C70">
              <w:t>a</w:t>
            </w:r>
            <w:r w:rsidR="00BE7FD3">
              <w:t>rt. 12a).</w:t>
            </w:r>
            <w:r w:rsidR="00BE7FD3">
              <w:rPr>
                <w:rStyle w:val="FootnoteReference"/>
              </w:rPr>
              <w:footnoteReference w:id="153"/>
            </w:r>
            <w:r w:rsidR="00BE7FD3">
              <w:t xml:space="preserve"> While a reintroduction of military service for all would thus require a constitutional </w:t>
            </w:r>
            <w:r w:rsidR="00BE7FD3">
              <w:lastRenderedPageBreak/>
              <w:t xml:space="preserve">change, no such reintroduction is planned. </w:t>
            </w:r>
          </w:p>
        </w:tc>
        <w:tc>
          <w:tcPr>
            <w:tcW w:w="677" w:type="pct"/>
            <w:shd w:val="clear" w:color="auto" w:fill="auto"/>
          </w:tcPr>
          <w:p w14:paraId="2140E8E0" w14:textId="477C5CE0" w:rsidR="001118D9" w:rsidRDefault="00000000" w:rsidP="00714158">
            <w:hyperlink r:id="rId58" w:history="1">
              <w:r w:rsidR="001118D9" w:rsidRPr="00C8609F">
                <w:rPr>
                  <w:rStyle w:val="Hyperlink"/>
                  <w:b/>
                  <w:bCs/>
                </w:rPr>
                <w:t>NAP</w:t>
              </w:r>
              <w:r w:rsidR="00671725" w:rsidRPr="00C8609F">
                <w:rPr>
                  <w:rStyle w:val="Hyperlink"/>
                </w:rPr>
                <w:t xml:space="preserve"> </w:t>
              </w:r>
              <w:r w:rsidR="00671725" w:rsidRPr="00C8609F">
                <w:rPr>
                  <w:rStyle w:val="Hyperlink"/>
                  <w:b/>
                  <w:bCs/>
                </w:rPr>
                <w:t>2013-2016</w:t>
              </w:r>
              <w:r w:rsidR="001118D9" w:rsidRPr="00C8609F">
                <w:rPr>
                  <w:rStyle w:val="Hyperlink"/>
                  <w:b/>
                  <w:bCs/>
                </w:rPr>
                <w:t xml:space="preserve"> </w:t>
              </w:r>
              <w:r w:rsidR="001118D9" w:rsidRPr="00C8609F">
                <w:rPr>
                  <w:rStyle w:val="Hyperlink"/>
                </w:rPr>
                <w:t>(2012)</w:t>
              </w:r>
            </w:hyperlink>
            <w:r w:rsidR="001118D9" w:rsidRPr="001118D9">
              <w:t xml:space="preserve"> </w:t>
            </w:r>
            <w:r w:rsidR="001118D9">
              <w:t xml:space="preserve"> </w:t>
            </w:r>
          </w:p>
          <w:p w14:paraId="278F1C4F" w14:textId="1DDBB61C" w:rsidR="001118D9" w:rsidRDefault="00000000" w:rsidP="00714158">
            <w:hyperlink r:id="rId59" w:history="1">
              <w:r w:rsidR="001118D9" w:rsidRPr="00415DF8">
                <w:rPr>
                  <w:rStyle w:val="Hyperlink"/>
                  <w:b/>
                  <w:bCs/>
                </w:rPr>
                <w:t>NAP</w:t>
              </w:r>
              <w:r w:rsidR="001118D9" w:rsidRPr="00415DF8">
                <w:rPr>
                  <w:rStyle w:val="Hyperlink"/>
                </w:rPr>
                <w:t xml:space="preserve"> </w:t>
              </w:r>
              <w:r w:rsidR="00671725" w:rsidRPr="00415DF8">
                <w:rPr>
                  <w:rStyle w:val="Hyperlink"/>
                  <w:b/>
                  <w:bCs/>
                </w:rPr>
                <w:t xml:space="preserve">2017-2020 </w:t>
              </w:r>
              <w:r w:rsidR="001118D9" w:rsidRPr="00415DF8">
                <w:rPr>
                  <w:rStyle w:val="Hyperlink"/>
                </w:rPr>
                <w:t>(2017)</w:t>
              </w:r>
            </w:hyperlink>
          </w:p>
          <w:p w14:paraId="694D0FC1" w14:textId="6AB6E4BB" w:rsidR="004116DF" w:rsidRPr="00662CBC" w:rsidRDefault="00000000" w:rsidP="00714158">
            <w:hyperlink r:id="rId60" w:history="1">
              <w:r w:rsidR="001118D9" w:rsidRPr="0047680B">
                <w:rPr>
                  <w:rStyle w:val="Hyperlink"/>
                  <w:b/>
                  <w:bCs/>
                </w:rPr>
                <w:t>NAP</w:t>
              </w:r>
              <w:r w:rsidR="00A603DD" w:rsidRPr="0047680B">
                <w:rPr>
                  <w:rStyle w:val="Hyperlink"/>
                  <w:b/>
                  <w:bCs/>
                </w:rPr>
                <w:t xml:space="preserve"> 2021-2024</w:t>
              </w:r>
              <w:r w:rsidR="001118D9" w:rsidRPr="0047680B">
                <w:rPr>
                  <w:rStyle w:val="Hyperlink"/>
                </w:rPr>
                <w:t xml:space="preserve"> (2021)</w:t>
              </w:r>
            </w:hyperlink>
            <w:r w:rsidR="001F7DEA">
              <w:t xml:space="preserve"> no precise objectives</w:t>
            </w:r>
            <w:r w:rsidR="00D53C7D" w:rsidRPr="005D2F5A">
              <w:rPr>
                <w:rStyle w:val="FootnoteReference"/>
              </w:rPr>
              <w:footnoteReference w:id="154"/>
            </w:r>
          </w:p>
        </w:tc>
      </w:tr>
      <w:tr w:rsidR="00CB5BD0" w:rsidRPr="00662CBC" w14:paraId="4EE5AF97" w14:textId="77777777" w:rsidTr="00F37D6B">
        <w:tc>
          <w:tcPr>
            <w:tcW w:w="139" w:type="pct"/>
            <w:shd w:val="clear" w:color="auto" w:fill="auto"/>
          </w:tcPr>
          <w:p w14:paraId="6FAB54C0"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1ADF31C1" w14:textId="77777777" w:rsidR="004116DF" w:rsidRPr="00662CBC" w:rsidRDefault="004116DF" w:rsidP="006064D6">
            <w:pPr>
              <w:pStyle w:val="Heading3"/>
            </w:pPr>
            <w:bookmarkStart w:id="23" w:name="_Toc132806707"/>
            <w:r w:rsidRPr="00662CBC">
              <w:t>Greece</w:t>
            </w:r>
            <w:bookmarkEnd w:id="23"/>
            <w:r w:rsidRPr="00662CBC">
              <w:t xml:space="preserve"> </w:t>
            </w:r>
          </w:p>
          <w:p w14:paraId="7F847115" w14:textId="77777777" w:rsidR="004116DF" w:rsidRPr="00662CBC" w:rsidRDefault="004116DF" w:rsidP="006064D6">
            <w:pPr>
              <w:rPr>
                <w:szCs w:val="20"/>
              </w:rPr>
            </w:pPr>
          </w:p>
        </w:tc>
        <w:tc>
          <w:tcPr>
            <w:tcW w:w="855" w:type="pct"/>
            <w:shd w:val="clear" w:color="auto" w:fill="auto"/>
          </w:tcPr>
          <w:p w14:paraId="63DDD720" w14:textId="20C6145D" w:rsidR="004116DF" w:rsidRPr="00662CBC" w:rsidRDefault="004116DF" w:rsidP="00714158">
            <w:r w:rsidRPr="00662CBC">
              <w:t>s. NDC submitted by EU</w:t>
            </w:r>
          </w:p>
        </w:tc>
        <w:tc>
          <w:tcPr>
            <w:tcW w:w="1023" w:type="pct"/>
            <w:shd w:val="clear" w:color="auto" w:fill="auto"/>
          </w:tcPr>
          <w:p w14:paraId="5AE5701B" w14:textId="3F35F328" w:rsidR="006B68CB" w:rsidRDefault="009A1CC7" w:rsidP="0029310A">
            <w:r>
              <w:t>—</w:t>
            </w:r>
          </w:p>
          <w:p w14:paraId="5F973E54" w14:textId="0EE8B74F" w:rsidR="00ED0FFD" w:rsidRDefault="006B68CB" w:rsidP="00714158">
            <w:r w:rsidRPr="008A343C">
              <w:rPr>
                <w:b/>
                <w:bCs/>
              </w:rPr>
              <w:t>Note</w:t>
            </w:r>
            <w:r w:rsidR="008A343C">
              <w:rPr>
                <w:b/>
                <w:bCs/>
              </w:rPr>
              <w:t xml:space="preserve"> 1</w:t>
            </w:r>
            <w:r>
              <w:t>:</w:t>
            </w:r>
            <w:r w:rsidR="00ED0FFD">
              <w:t xml:space="preserve"> Affirmative action is </w:t>
            </w:r>
            <w:r w:rsidR="00E10C6D">
              <w:t>allowed.</w:t>
            </w:r>
          </w:p>
          <w:p w14:paraId="0E91754A" w14:textId="6C6841F7" w:rsidR="006B68CB" w:rsidRPr="00C67763" w:rsidRDefault="006B68CB" w:rsidP="00714158">
            <w:r w:rsidRPr="006B68CB">
              <w:lastRenderedPageBreak/>
              <w:t>“Adoption of positive measures for promoting equality between men and women do not constitute discrimination on grounds of sex. The state shall take measures for the elimination of inequalities actually existing, in particular to the detriment of women” (</w:t>
            </w:r>
            <w:r w:rsidR="00156C70">
              <w:t>a</w:t>
            </w:r>
            <w:r w:rsidRPr="006B68CB">
              <w:t>rt. 116(2) of the Greek Constitution, As revised by the parliamentary resolution of April 6th</w:t>
            </w:r>
            <w:proofErr w:type="gramStart"/>
            <w:r w:rsidRPr="006B68CB">
              <w:t xml:space="preserve"> 2001</w:t>
            </w:r>
            <w:proofErr w:type="gramEnd"/>
            <w:r w:rsidRPr="006B68CB">
              <w:t xml:space="preserve"> of the </w:t>
            </w:r>
            <w:proofErr w:type="spellStart"/>
            <w:r w:rsidRPr="006B68CB">
              <w:t>VIIth</w:t>
            </w:r>
            <w:proofErr w:type="spellEnd"/>
            <w:r w:rsidRPr="006B68CB">
              <w:t xml:space="preserve"> </w:t>
            </w:r>
            <w:r w:rsidRPr="00C67763">
              <w:t>Revisionary Parliament).</w:t>
            </w:r>
            <w:r w:rsidR="00F341F3">
              <w:t>”</w:t>
            </w:r>
            <w:r w:rsidR="00F341F3">
              <w:rPr>
                <w:rStyle w:val="FootnoteReference"/>
              </w:rPr>
              <w:footnoteReference w:id="155"/>
            </w:r>
          </w:p>
          <w:p w14:paraId="304ED368" w14:textId="10CD1750" w:rsidR="008A343C" w:rsidRDefault="008A343C" w:rsidP="00714158">
            <w:r w:rsidRPr="00C67763">
              <w:rPr>
                <w:b/>
                <w:bCs/>
              </w:rPr>
              <w:t>Note 2: Data</w:t>
            </w:r>
            <w:r w:rsidR="00C67763" w:rsidRPr="00C67763">
              <w:rPr>
                <w:b/>
                <w:bCs/>
              </w:rPr>
              <w:t xml:space="preserve"> of </w:t>
            </w:r>
            <w:r w:rsidRPr="00C67763">
              <w:rPr>
                <w:b/>
                <w:bCs/>
              </w:rPr>
              <w:t xml:space="preserve">OECD countries in </w:t>
            </w:r>
            <w:r w:rsidR="00C67763" w:rsidRPr="00C67763">
              <w:rPr>
                <w:b/>
                <w:bCs/>
              </w:rPr>
              <w:t>2020</w:t>
            </w:r>
            <w:r w:rsidRPr="00C67763">
              <w:rPr>
                <w:b/>
                <w:bCs/>
              </w:rPr>
              <w:t>:</w:t>
            </w:r>
            <w:r w:rsidRPr="008A343C">
              <w:t xml:space="preserve"> </w:t>
            </w:r>
            <w:r w:rsidR="00C67763">
              <w:t>“</w:t>
            </w:r>
            <w:r w:rsidRPr="008A343C">
              <w:t>Latvia, Sweden, and Greece have the largest share of women in senior positions (53-56%) while Japan (4%) and Korea (9%) have the smallest.</w:t>
            </w:r>
            <w:r w:rsidR="00C67763">
              <w:t>”</w:t>
            </w:r>
            <w:r w:rsidR="00C67763">
              <w:rPr>
                <w:rStyle w:val="FootnoteReference"/>
              </w:rPr>
              <w:footnoteReference w:id="156"/>
            </w:r>
          </w:p>
          <w:p w14:paraId="270401B9" w14:textId="279C44A6" w:rsidR="00E10C6D" w:rsidRDefault="00E10C6D" w:rsidP="00E10C6D">
            <w:r>
              <w:t xml:space="preserve">— I could not figure out why the percentage is this high </w:t>
            </w:r>
          </w:p>
          <w:p w14:paraId="09231C07" w14:textId="5646C76B" w:rsidR="006374A0" w:rsidRPr="006374A0" w:rsidRDefault="006374A0" w:rsidP="00714158"/>
        </w:tc>
        <w:tc>
          <w:tcPr>
            <w:tcW w:w="903" w:type="pct"/>
            <w:shd w:val="clear" w:color="auto" w:fill="auto"/>
          </w:tcPr>
          <w:p w14:paraId="6A73641A" w14:textId="77777777" w:rsidR="004116DF" w:rsidRDefault="009A1CC7" w:rsidP="00714158">
            <w:r>
              <w:lastRenderedPageBreak/>
              <w:t>—</w:t>
            </w:r>
          </w:p>
          <w:p w14:paraId="01359879" w14:textId="77777777" w:rsidR="00955EB9" w:rsidRDefault="00955EB9" w:rsidP="00955EB9">
            <w:r>
              <w:rPr>
                <w:b/>
                <w:bCs/>
              </w:rPr>
              <w:t>Note: Restrictions for women</w:t>
            </w:r>
            <w:r>
              <w:t>: “</w:t>
            </w:r>
            <w:r w:rsidRPr="005845C8">
              <w:t xml:space="preserve">Women are not permitted to </w:t>
            </w:r>
            <w:r w:rsidRPr="005845C8">
              <w:lastRenderedPageBreak/>
              <w:t>enter the Naval Special Forces in the [Hellenic Armed Forces] HAF. There are no plans in the future to eliminate this restriction.</w:t>
            </w:r>
            <w:r>
              <w:t>”</w:t>
            </w:r>
            <w:r>
              <w:rPr>
                <w:rStyle w:val="FootnoteReference"/>
              </w:rPr>
              <w:footnoteReference w:id="157"/>
            </w:r>
          </w:p>
          <w:p w14:paraId="41C7972D" w14:textId="61FDEB39" w:rsidR="00094D41" w:rsidRDefault="00094D41" w:rsidP="00094D41">
            <w:r>
              <w:rPr>
                <w:b/>
                <w:bCs/>
              </w:rPr>
              <w:t>Note 1</w:t>
            </w:r>
            <w:r>
              <w:t xml:space="preserve">: </w:t>
            </w:r>
            <w:r>
              <w:rPr>
                <w:b/>
                <w:bCs/>
              </w:rPr>
              <w:t xml:space="preserve">Institutional mechanism to integrate gender </w:t>
            </w:r>
            <w:r w:rsidRPr="00D4516B">
              <w:t>“</w:t>
            </w:r>
            <w:r w:rsidRPr="005845C8">
              <w:t xml:space="preserve">The Gender Equality Office of the Hellenic Ministry of Defence (HMOD) is a military entity that deals with the integration of a gender perspective in the armed forces with a duty is to monitor, collect information and supervise </w:t>
            </w:r>
            <w:proofErr w:type="gramStart"/>
            <w:r w:rsidRPr="005845C8">
              <w:t>lower level</w:t>
            </w:r>
            <w:proofErr w:type="gramEnd"/>
            <w:r w:rsidRPr="005845C8">
              <w:t xml:space="preserve"> entities of HMOD on issues con</w:t>
            </w:r>
            <w:r w:rsidR="0083613E" w:rsidRPr="0029310A">
              <w:t>-</w:t>
            </w:r>
            <w:r w:rsidRPr="005845C8">
              <w:t>cerning gender equality.</w:t>
            </w:r>
            <w:r w:rsidRPr="00D4516B">
              <w:t>”</w:t>
            </w:r>
            <w:r w:rsidRPr="00D4516B">
              <w:rPr>
                <w:rStyle w:val="FootnoteReference"/>
              </w:rPr>
              <w:t xml:space="preserve"> </w:t>
            </w:r>
            <w:r>
              <w:rPr>
                <w:rStyle w:val="FootnoteReference"/>
              </w:rPr>
              <w:footnoteReference w:id="158"/>
            </w:r>
          </w:p>
          <w:p w14:paraId="3E527158" w14:textId="071A60A6" w:rsidR="0083613E" w:rsidRDefault="0083613E" w:rsidP="0083613E">
            <w:r>
              <w:rPr>
                <w:b/>
                <w:bCs/>
              </w:rPr>
              <w:t>Note 2: Military equipment not adapted, but uniforms</w:t>
            </w:r>
            <w:r w:rsidR="00800B41">
              <w:rPr>
                <w:b/>
                <w:bCs/>
              </w:rPr>
              <w:t xml:space="preserve"> and f</w:t>
            </w:r>
            <w:r>
              <w:rPr>
                <w:b/>
                <w:bCs/>
              </w:rPr>
              <w:t>acilities for both sexes</w:t>
            </w:r>
            <w:r>
              <w:rPr>
                <w:rStyle w:val="FootnoteReference"/>
              </w:rPr>
              <w:footnoteReference w:id="159"/>
            </w:r>
          </w:p>
          <w:p w14:paraId="0E82786C" w14:textId="77777777" w:rsidR="0083613E" w:rsidRDefault="0083613E" w:rsidP="00094D41"/>
          <w:p w14:paraId="22F6DE75" w14:textId="36ED3329" w:rsidR="00CA1A94" w:rsidRPr="00662CBC" w:rsidRDefault="00CA1A94" w:rsidP="00714158"/>
        </w:tc>
        <w:tc>
          <w:tcPr>
            <w:tcW w:w="949" w:type="pct"/>
            <w:shd w:val="clear" w:color="auto" w:fill="auto"/>
          </w:tcPr>
          <w:p w14:paraId="689B9675" w14:textId="77777777" w:rsidR="00752CE5" w:rsidRDefault="00752CE5" w:rsidP="00752CE5">
            <w:r>
              <w:rPr>
                <w:b/>
                <w:bCs/>
              </w:rPr>
              <w:lastRenderedPageBreak/>
              <w:t>Mandatory conscription for men, voluntary for women</w:t>
            </w:r>
            <w:r w:rsidRPr="00827623">
              <w:t>:</w:t>
            </w:r>
            <w:r>
              <w:rPr>
                <w:b/>
                <w:bCs/>
              </w:rPr>
              <w:t xml:space="preserve"> </w:t>
            </w:r>
          </w:p>
          <w:p w14:paraId="53E37772" w14:textId="1AEDA30D" w:rsidR="004116DF" w:rsidRPr="00662CBC" w:rsidRDefault="009633ED" w:rsidP="009633ED">
            <w:r w:rsidRPr="00B93BD8">
              <w:lastRenderedPageBreak/>
              <w:t>“19-45 years of age for compulsory military service for men; 12-month obligation for all services (note - as an exception, the duration of the full military service is 9 instead of 12 months if conscripts, after the initial training, serve the entire remaining time in certain areas of the eastern borders, in Cyprus, or in certain military units); 18 years of age for voluntary military service for men and women (2022)</w:t>
            </w:r>
            <w:r>
              <w:br/>
            </w:r>
            <w:r w:rsidRPr="00B93BD8">
              <w:rPr>
                <w:b/>
                <w:bCs/>
              </w:rPr>
              <w:t>note 1: </w:t>
            </w:r>
            <w:r w:rsidRPr="00B93BD8">
              <w:t>compulsory service applies to any individual whom the Greek authorities consider to be Greek, regardless of whether the individual considers himself Greek, has a foreign citizenship and passport, or was born or lives outside of Greece; Greek citizens living permanently outside of Greece have the right to postpone their conscription; they are permanently exempted from their military obligations when they reach the age of 45 years old</w:t>
            </w:r>
            <w:r>
              <w:rPr>
                <w:b/>
                <w:bCs/>
              </w:rPr>
              <w:br/>
            </w:r>
            <w:r w:rsidRPr="00B93BD8">
              <w:rPr>
                <w:b/>
                <w:bCs/>
              </w:rPr>
              <w:t>note 2: </w:t>
            </w:r>
            <w:r w:rsidRPr="00B93BD8">
              <w:t xml:space="preserve">up to 50% of the Greek </w:t>
            </w:r>
            <w:r w:rsidRPr="00B93BD8">
              <w:lastRenderedPageBreak/>
              <w:t>military is comprised of conscript</w:t>
            </w:r>
            <w:r w:rsidRPr="009633ED">
              <w:t>s</w:t>
            </w:r>
            <w:r>
              <w:br/>
            </w:r>
            <w:r w:rsidRPr="00B93BD8">
              <w:rPr>
                <w:b/>
                <w:bCs/>
              </w:rPr>
              <w:t>note 3: </w:t>
            </w:r>
            <w:r w:rsidRPr="00B93BD8">
              <w:t>as of 2019, women comprised approximately 19% of the military's full-time personnel”</w:t>
            </w:r>
            <w:r w:rsidR="004116DF" w:rsidRPr="005D2F5A">
              <w:rPr>
                <w:rStyle w:val="FootnoteReference"/>
              </w:rPr>
              <w:footnoteReference w:id="160"/>
            </w:r>
          </w:p>
        </w:tc>
        <w:tc>
          <w:tcPr>
            <w:tcW w:w="677" w:type="pct"/>
            <w:shd w:val="clear" w:color="auto" w:fill="auto"/>
          </w:tcPr>
          <w:p w14:paraId="73C104E5" w14:textId="461B8F2D" w:rsidR="004116DF" w:rsidRPr="00662CBC" w:rsidRDefault="00557276" w:rsidP="00714158">
            <w:r>
              <w:rPr>
                <w:b/>
                <w:bCs/>
              </w:rPr>
              <w:lastRenderedPageBreak/>
              <w:t>No NAP</w:t>
            </w:r>
          </w:p>
        </w:tc>
      </w:tr>
      <w:tr w:rsidR="00CB5BD0" w:rsidRPr="00662CBC" w14:paraId="149CE9C7" w14:textId="77777777" w:rsidTr="00F37D6B">
        <w:tc>
          <w:tcPr>
            <w:tcW w:w="139" w:type="pct"/>
            <w:shd w:val="clear" w:color="auto" w:fill="auto"/>
          </w:tcPr>
          <w:p w14:paraId="5C8E0AFF"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5048BBFE" w14:textId="77777777" w:rsidR="004116DF" w:rsidRPr="00662CBC" w:rsidRDefault="004116DF" w:rsidP="006064D6">
            <w:pPr>
              <w:pStyle w:val="Heading3"/>
            </w:pPr>
            <w:bookmarkStart w:id="24" w:name="_Toc132806708"/>
            <w:r w:rsidRPr="00662CBC">
              <w:t>Hungary</w:t>
            </w:r>
            <w:bookmarkEnd w:id="24"/>
            <w:r w:rsidRPr="00662CBC">
              <w:t xml:space="preserve"> </w:t>
            </w:r>
          </w:p>
          <w:p w14:paraId="1160D392" w14:textId="77777777" w:rsidR="004116DF" w:rsidRPr="00662CBC" w:rsidRDefault="004116DF" w:rsidP="006064D6">
            <w:pPr>
              <w:rPr>
                <w:szCs w:val="20"/>
              </w:rPr>
            </w:pPr>
          </w:p>
        </w:tc>
        <w:tc>
          <w:tcPr>
            <w:tcW w:w="855" w:type="pct"/>
            <w:shd w:val="clear" w:color="auto" w:fill="auto"/>
          </w:tcPr>
          <w:p w14:paraId="7B8268FB" w14:textId="6A07F8DE" w:rsidR="004116DF" w:rsidRPr="00662CBC" w:rsidRDefault="004116DF" w:rsidP="00714158">
            <w:r w:rsidRPr="00662CBC">
              <w:t>s. NDC submitted by EU</w:t>
            </w:r>
          </w:p>
        </w:tc>
        <w:tc>
          <w:tcPr>
            <w:tcW w:w="1023" w:type="pct"/>
            <w:shd w:val="clear" w:color="auto" w:fill="auto"/>
          </w:tcPr>
          <w:p w14:paraId="2871D1BC" w14:textId="0B26DA5A" w:rsidR="004116DF" w:rsidRPr="00662CBC" w:rsidRDefault="000F3550" w:rsidP="00714158">
            <w:r>
              <w:t>—</w:t>
            </w:r>
          </w:p>
        </w:tc>
        <w:tc>
          <w:tcPr>
            <w:tcW w:w="903" w:type="pct"/>
            <w:shd w:val="clear" w:color="auto" w:fill="auto"/>
          </w:tcPr>
          <w:p w14:paraId="58D1FEBF" w14:textId="77777777" w:rsidR="000F3550" w:rsidRDefault="000F3550" w:rsidP="00FF52AF">
            <w:pPr>
              <w:rPr>
                <w:b/>
                <w:bCs/>
              </w:rPr>
            </w:pPr>
            <w:r>
              <w:rPr>
                <w:b/>
                <w:bCs/>
              </w:rPr>
              <w:t>—</w:t>
            </w:r>
          </w:p>
          <w:p w14:paraId="4428AC3A" w14:textId="47CB991E" w:rsidR="00CF6218" w:rsidRDefault="00CF6218" w:rsidP="00FF52AF">
            <w:pPr>
              <w:rPr>
                <w:b/>
                <w:bCs/>
              </w:rPr>
            </w:pPr>
            <w:r>
              <w:rPr>
                <w:b/>
                <w:bCs/>
              </w:rPr>
              <w:t>No general quota system</w:t>
            </w:r>
          </w:p>
          <w:p w14:paraId="6ACB0533" w14:textId="289AE1B7" w:rsidR="00EB7CD7" w:rsidRDefault="00FF52AF" w:rsidP="00FF52AF">
            <w:r>
              <w:t>“</w:t>
            </w:r>
            <w:r w:rsidRPr="00FF52AF">
              <w:t>There is no quota system for women or men in the Hungarian Armed Forces. There are no restrictions on the incorporation of women in the Armed Forces, nor are there restrictions that apply only to operations</w:t>
            </w:r>
            <w:r w:rsidR="00EB7CD7" w:rsidRPr="00EB7CD7">
              <w:t>.”</w:t>
            </w:r>
            <w:r w:rsidR="00EB7CD7">
              <w:rPr>
                <w:rStyle w:val="FootnoteReference"/>
              </w:rPr>
              <w:t xml:space="preserve"> </w:t>
            </w:r>
            <w:r w:rsidR="00EB7CD7">
              <w:rPr>
                <w:rStyle w:val="FootnoteReference"/>
              </w:rPr>
              <w:footnoteReference w:id="161"/>
            </w:r>
          </w:p>
          <w:p w14:paraId="1D1FD704" w14:textId="77777777" w:rsidR="00EB7CD7" w:rsidRDefault="00EB7CD7" w:rsidP="00FF52AF"/>
          <w:p w14:paraId="69887BC8" w14:textId="05E1C858" w:rsidR="00EB7CD7" w:rsidRDefault="00EB7CD7" w:rsidP="00EB7CD7">
            <w:r>
              <w:rPr>
                <w:b/>
                <w:bCs/>
              </w:rPr>
              <w:t>Note 1</w:t>
            </w:r>
            <w:r>
              <w:t xml:space="preserve">: </w:t>
            </w:r>
            <w:r>
              <w:rPr>
                <w:b/>
                <w:bCs/>
              </w:rPr>
              <w:t xml:space="preserve">No institutional mechanism to integrate </w:t>
            </w:r>
            <w:proofErr w:type="gramStart"/>
            <w:r>
              <w:rPr>
                <w:b/>
                <w:bCs/>
              </w:rPr>
              <w:t>gender</w:t>
            </w:r>
            <w:proofErr w:type="gramEnd"/>
            <w:r>
              <w:rPr>
                <w:b/>
                <w:bCs/>
              </w:rPr>
              <w:t xml:space="preserve"> </w:t>
            </w:r>
          </w:p>
          <w:p w14:paraId="74B85E6B" w14:textId="0B4CF274" w:rsidR="00FF52AF" w:rsidRPr="00973C6F" w:rsidRDefault="00EB7CD7" w:rsidP="00FF52AF">
            <w:r w:rsidRPr="00EB7CD7">
              <w:t>“</w:t>
            </w:r>
            <w:r w:rsidR="00FF52AF" w:rsidRPr="00FF52AF">
              <w:t xml:space="preserve">There is no military entity that deals with the incorporation of a gender perspective in the military. The Hungarian Armed Forces, the Ministry of Defence, and the General Staff do not have gender advisors. No gender advisors have been deployed so far. </w:t>
            </w:r>
            <w:r w:rsidR="00FF52AF" w:rsidRPr="00FF52AF">
              <w:lastRenderedPageBreak/>
              <w:t>The Armed Forces do not have gender focal points.</w:t>
            </w:r>
            <w:r w:rsidRPr="00973C6F">
              <w:t>”</w:t>
            </w:r>
            <w:r>
              <w:rPr>
                <w:rStyle w:val="FootnoteReference"/>
              </w:rPr>
              <w:t xml:space="preserve"> </w:t>
            </w:r>
            <w:r>
              <w:rPr>
                <w:rStyle w:val="FootnoteReference"/>
              </w:rPr>
              <w:footnoteReference w:id="162"/>
            </w:r>
          </w:p>
          <w:p w14:paraId="2735EE3B" w14:textId="1B3B262D" w:rsidR="00EB7CD7" w:rsidRPr="00557D6F" w:rsidRDefault="00557D6F" w:rsidP="00557D6F">
            <w:r>
              <w:rPr>
                <w:b/>
                <w:bCs/>
              </w:rPr>
              <w:t xml:space="preserve">Note 2: Structural difficulties - military equipment not adapted but uniforms and facilities for both </w:t>
            </w:r>
            <w:proofErr w:type="gramStart"/>
            <w:r>
              <w:rPr>
                <w:b/>
                <w:bCs/>
              </w:rPr>
              <w:t>sexes</w:t>
            </w:r>
            <w:proofErr w:type="gramEnd"/>
          </w:p>
          <w:p w14:paraId="600B11ED" w14:textId="5B2656F8" w:rsidR="00FF52AF" w:rsidRPr="00FF52AF" w:rsidRDefault="00FF52AF" w:rsidP="00FF52AF">
            <w:r w:rsidRPr="00FF52AF">
              <w:t>Military equipment is not adapted for women and men. Military facilities are adapted for women and men. Separate lodging and lavatories are provided for women. Combat uniforms are unisex. Separate service uniforms are available for women and men.</w:t>
            </w:r>
            <w:r w:rsidR="00D4062B">
              <w:rPr>
                <w:rStyle w:val="FootnoteReference"/>
              </w:rPr>
              <w:t xml:space="preserve"> </w:t>
            </w:r>
            <w:r w:rsidR="00D4062B">
              <w:rPr>
                <w:rStyle w:val="FootnoteReference"/>
              </w:rPr>
              <w:footnoteReference w:id="163"/>
            </w:r>
          </w:p>
          <w:p w14:paraId="3187F22A" w14:textId="6F6BCDAE" w:rsidR="00FF52AF" w:rsidRPr="00662CBC" w:rsidRDefault="00761FE6" w:rsidP="002A4B57">
            <w:r w:rsidRPr="00025EAB">
              <w:rPr>
                <w:b/>
                <w:bCs/>
              </w:rPr>
              <w:t xml:space="preserve">Note 3: Difficult work/life </w:t>
            </w:r>
            <w:r>
              <w:rPr>
                <w:b/>
                <w:bCs/>
              </w:rPr>
              <w:t>balance</w:t>
            </w:r>
            <w:r w:rsidRPr="00761FE6">
              <w:t xml:space="preserve"> “</w:t>
            </w:r>
            <w:r w:rsidR="00FF52AF" w:rsidRPr="00FF52AF">
              <w:t>The Hungarian Armed Forces carry out exit surveys for women and men who leave the military. In 2017, 211 women and 1,262 men left the Armed Forces. The main reasons why women tend to leave the armed forces are difficulties in balancing work and family life and a lack of stability.</w:t>
            </w:r>
            <w:r w:rsidR="00566FA1" w:rsidRPr="00566FA1">
              <w:t>”</w:t>
            </w:r>
            <w:r w:rsidR="00E7483C">
              <w:rPr>
                <w:rStyle w:val="FootnoteReference"/>
              </w:rPr>
              <w:footnoteReference w:id="164"/>
            </w:r>
          </w:p>
        </w:tc>
        <w:tc>
          <w:tcPr>
            <w:tcW w:w="949" w:type="pct"/>
            <w:shd w:val="clear" w:color="auto" w:fill="auto"/>
          </w:tcPr>
          <w:p w14:paraId="119F003D" w14:textId="118F6DF5" w:rsidR="00A005B8" w:rsidRPr="00D82CE4" w:rsidRDefault="00D82CE4" w:rsidP="00714158">
            <w:pPr>
              <w:rPr>
                <w:b/>
                <w:bCs/>
              </w:rPr>
            </w:pPr>
            <w:r>
              <w:rPr>
                <w:b/>
                <w:bCs/>
              </w:rPr>
              <w:lastRenderedPageBreak/>
              <w:t>No mandatory military service</w:t>
            </w:r>
            <w:r w:rsidR="00E370DA">
              <w:rPr>
                <w:b/>
                <w:bCs/>
              </w:rPr>
              <w:t>:</w:t>
            </w:r>
            <w:r>
              <w:rPr>
                <w:b/>
                <w:bCs/>
              </w:rPr>
              <w:t xml:space="preserve"> </w:t>
            </w:r>
          </w:p>
          <w:p w14:paraId="2970D8DE" w14:textId="77777777" w:rsidR="00A005B8" w:rsidRDefault="00A005B8" w:rsidP="00A005B8">
            <w:r>
              <w:t>“</w:t>
            </w:r>
            <w:r w:rsidRPr="00A005B8">
              <w:t xml:space="preserve">18-25 years of age for voluntary military service; no conscription (abolished 2005); 6-month service obligation (2022) </w:t>
            </w:r>
          </w:p>
          <w:p w14:paraId="345EE33E" w14:textId="693C7D02" w:rsidR="004116DF" w:rsidRPr="00A005B8" w:rsidRDefault="00A005B8" w:rsidP="00A005B8">
            <w:pPr>
              <w:rPr>
                <w:b/>
                <w:bCs/>
              </w:rPr>
            </w:pPr>
            <w:r>
              <w:rPr>
                <w:b/>
                <w:bCs/>
              </w:rPr>
              <w:t>n</w:t>
            </w:r>
            <w:r w:rsidRPr="00A005B8">
              <w:rPr>
                <w:b/>
                <w:bCs/>
              </w:rPr>
              <w:t>ote</w:t>
            </w:r>
            <w:r w:rsidRPr="00A005B8">
              <w:t>: as of 2019, women comprised approximately 20% of Hungary's full-time military personnel</w:t>
            </w:r>
            <w:r>
              <w:t>”</w:t>
            </w:r>
            <w:r w:rsidR="004116DF" w:rsidRPr="005D2F5A">
              <w:rPr>
                <w:rStyle w:val="FootnoteReference"/>
              </w:rPr>
              <w:footnoteReference w:id="165"/>
            </w:r>
          </w:p>
        </w:tc>
        <w:tc>
          <w:tcPr>
            <w:tcW w:w="677" w:type="pct"/>
            <w:shd w:val="clear" w:color="auto" w:fill="auto"/>
          </w:tcPr>
          <w:p w14:paraId="4761F911" w14:textId="0D032C9D" w:rsidR="004116DF" w:rsidRPr="00662CBC" w:rsidRDefault="004E4CBA" w:rsidP="00714158">
            <w:r>
              <w:rPr>
                <w:b/>
                <w:bCs/>
              </w:rPr>
              <w:t xml:space="preserve">No </w:t>
            </w:r>
            <w:r w:rsidR="006A6897">
              <w:rPr>
                <w:b/>
                <w:bCs/>
              </w:rPr>
              <w:t>NAP</w:t>
            </w:r>
          </w:p>
        </w:tc>
      </w:tr>
      <w:tr w:rsidR="00CB5BD0" w:rsidRPr="00662CBC" w14:paraId="0BA32202" w14:textId="77777777" w:rsidTr="00F37D6B">
        <w:tc>
          <w:tcPr>
            <w:tcW w:w="139" w:type="pct"/>
            <w:shd w:val="clear" w:color="auto" w:fill="auto"/>
          </w:tcPr>
          <w:p w14:paraId="62C140A5"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2AD9F37A" w14:textId="77777777" w:rsidR="004116DF" w:rsidRPr="00662CBC" w:rsidRDefault="004116DF" w:rsidP="006064D6">
            <w:pPr>
              <w:pStyle w:val="Heading3"/>
            </w:pPr>
            <w:bookmarkStart w:id="25" w:name="_Toc132806709"/>
            <w:r w:rsidRPr="00662CBC">
              <w:t>Iceland</w:t>
            </w:r>
            <w:bookmarkEnd w:id="25"/>
          </w:p>
          <w:p w14:paraId="065E5AA1" w14:textId="77777777" w:rsidR="004116DF" w:rsidRPr="00662CBC" w:rsidRDefault="004116DF" w:rsidP="006064D6">
            <w:pPr>
              <w:rPr>
                <w:b/>
                <w:bCs/>
                <w:szCs w:val="20"/>
              </w:rPr>
            </w:pPr>
          </w:p>
        </w:tc>
        <w:tc>
          <w:tcPr>
            <w:tcW w:w="855" w:type="pct"/>
            <w:shd w:val="clear" w:color="auto" w:fill="auto"/>
          </w:tcPr>
          <w:p w14:paraId="4F49E8D4" w14:textId="19A8C73C" w:rsidR="00633869" w:rsidRPr="00633869" w:rsidRDefault="009308BF" w:rsidP="00633869">
            <w:pPr>
              <w:rPr>
                <w:b/>
                <w:bCs/>
              </w:rPr>
            </w:pPr>
            <w:r>
              <w:rPr>
                <w:b/>
                <w:bCs/>
              </w:rPr>
              <w:lastRenderedPageBreak/>
              <w:t>NDC</w:t>
            </w:r>
            <w:r w:rsidR="005777C4">
              <w:rPr>
                <w:b/>
                <w:bCs/>
              </w:rPr>
              <w:t>:</w:t>
            </w:r>
            <w:r>
              <w:rPr>
                <w:b/>
                <w:bCs/>
              </w:rPr>
              <w:t xml:space="preserve"> </w:t>
            </w:r>
            <w:r w:rsidR="00633869">
              <w:rPr>
                <w:b/>
                <w:bCs/>
              </w:rPr>
              <w:t>Gender-sensitive</w:t>
            </w:r>
          </w:p>
          <w:p w14:paraId="07E698D5" w14:textId="6A25247C" w:rsidR="00633869" w:rsidRPr="00662CBC" w:rsidRDefault="00633869" w:rsidP="00633869">
            <w:r>
              <w:lastRenderedPageBreak/>
              <w:t>“</w:t>
            </w:r>
            <w:r w:rsidRPr="00633869">
              <w:t>Iceland’s NDC is prepared in the context of commitments to gender equality and cross-cutting priorities and sustainable development.</w:t>
            </w:r>
            <w:r>
              <w:t>”</w:t>
            </w:r>
            <w:r w:rsidR="00952995">
              <w:rPr>
                <w:rStyle w:val="FootnoteReference"/>
              </w:rPr>
              <w:footnoteReference w:id="166"/>
            </w:r>
          </w:p>
        </w:tc>
        <w:tc>
          <w:tcPr>
            <w:tcW w:w="1023" w:type="pct"/>
            <w:shd w:val="clear" w:color="auto" w:fill="auto"/>
          </w:tcPr>
          <w:p w14:paraId="48A1A448" w14:textId="56527FDF" w:rsidR="003F089C" w:rsidRDefault="005777C4" w:rsidP="003F089C">
            <w:r>
              <w:lastRenderedPageBreak/>
              <w:t>—</w:t>
            </w:r>
          </w:p>
          <w:p w14:paraId="7C283C30" w14:textId="77777777" w:rsidR="003F089C" w:rsidRDefault="00000000" w:rsidP="003F089C">
            <w:pPr>
              <w:jc w:val="left"/>
              <w:rPr>
                <w:b/>
                <w:bCs/>
              </w:rPr>
            </w:pPr>
            <w:hyperlink r:id="rId61" w:anchor="page=16" w:history="1">
              <w:r w:rsidR="003F089C" w:rsidRPr="003A5D67">
                <w:rPr>
                  <w:rStyle w:val="Hyperlink"/>
                  <w:b/>
                  <w:bCs/>
                </w:rPr>
                <w:t>Act on Equal Status and Equal Rights Irrespective of Gender, Article 28</w:t>
              </w:r>
            </w:hyperlink>
            <w:r w:rsidR="003F089C" w:rsidRPr="003A5D67">
              <w:rPr>
                <w:b/>
                <w:bCs/>
              </w:rPr>
              <w:t xml:space="preserve"> </w:t>
            </w:r>
          </w:p>
          <w:p w14:paraId="2E99FC11" w14:textId="77777777" w:rsidR="003F089C" w:rsidRDefault="003F089C" w:rsidP="003F089C">
            <w:pPr>
              <w:jc w:val="left"/>
            </w:pPr>
            <w:r w:rsidRPr="003A5D67">
              <w:t>“</w:t>
            </w:r>
            <w:r w:rsidRPr="003A5D67">
              <w:rPr>
                <w:b/>
                <w:bCs/>
              </w:rPr>
              <w:t xml:space="preserve">Participation in government and municipal committees, councils and boards </w:t>
            </w:r>
            <w:r w:rsidRPr="003A5D67">
              <w:rPr>
                <w:b/>
                <w:bCs/>
              </w:rPr>
              <w:br/>
            </w:r>
            <w:r w:rsidRPr="003A5D67">
              <w:t xml:space="preserve">When appointments are made to national and local government committees, councils and boards, care shall be taken to ensure as equal a representation of men and women as possible, and not lower than 40% when there are more than three representatives in a body. This shall also apply to the boards of publicly-owned limited companies and enterprises in which the state or a municipality is the majority owner. </w:t>
            </w:r>
            <w:r>
              <w:br/>
            </w:r>
            <w:r w:rsidRPr="003A5D67">
              <w:t xml:space="preserve">When nominations are made to national and local government committees, councils and boards, both a man and a woman shall be nominated. However, the nominating party may deviate from that condition when, in consequence of objective circumstances, this is not possible. In such cases, the nominating party shall explain the reasons for this. </w:t>
            </w:r>
            <w:r>
              <w:br/>
            </w:r>
            <w:r w:rsidRPr="003A5D67">
              <w:t xml:space="preserve">The appointing party may deviate </w:t>
            </w:r>
            <w:r w:rsidRPr="003A5D67">
              <w:lastRenderedPageBreak/>
              <w:t xml:space="preserve">from the condition of Paragraph 1 if the exemption provided for in Paragraph 2 applies. </w:t>
            </w:r>
            <w:r>
              <w:br/>
            </w:r>
            <w:r w:rsidRPr="003A5D67">
              <w:t xml:space="preserve">This provision shall not prevent the nomination and appointment of persons whose gender is registered as neutral in Registers Iceland, to government and municipal committees, </w:t>
            </w:r>
            <w:proofErr w:type="gramStart"/>
            <w:r w:rsidRPr="003A5D67">
              <w:t>councils</w:t>
            </w:r>
            <w:proofErr w:type="gramEnd"/>
            <w:r w:rsidRPr="003A5D67">
              <w:t xml:space="preserve"> and boards. This shall also apply to the boards of </w:t>
            </w:r>
            <w:proofErr w:type="gramStart"/>
            <w:r w:rsidRPr="003A5D67">
              <w:t>publicly-owned</w:t>
            </w:r>
            <w:proofErr w:type="gramEnd"/>
            <w:r w:rsidRPr="003A5D67">
              <w:t xml:space="preserve"> limited companies and enterprises in which the state or a municipality is the majority owner. However, the ratio of women shall never be less than 40%.</w:t>
            </w:r>
            <w:r>
              <w:t>”</w:t>
            </w:r>
          </w:p>
          <w:p w14:paraId="7D07890D" w14:textId="77777777" w:rsidR="003F089C" w:rsidRDefault="003F089C" w:rsidP="003F089C"/>
          <w:p w14:paraId="2521B59B" w14:textId="77777777" w:rsidR="004F4148" w:rsidRPr="009B30F7" w:rsidRDefault="004F4148" w:rsidP="004F4148">
            <w:r>
              <w:rPr>
                <w:b/>
                <w:bCs/>
              </w:rPr>
              <w:t xml:space="preserve">CEDAW Concluding Observations </w:t>
            </w:r>
            <w:r>
              <w:t>(2016):</w:t>
            </w:r>
          </w:p>
          <w:p w14:paraId="1940B4C8" w14:textId="77777777" w:rsidR="004F4148" w:rsidRDefault="004F4148" w:rsidP="004F4148">
            <w:r>
              <w:t>“</w:t>
            </w:r>
            <w:r w:rsidRPr="00C448CE">
              <w:rPr>
                <w:b/>
                <w:bCs/>
              </w:rPr>
              <w:t>Participation in political and public life</w:t>
            </w:r>
            <w:r>
              <w:t xml:space="preserve"> </w:t>
            </w:r>
          </w:p>
          <w:p w14:paraId="62641C58" w14:textId="77777777" w:rsidR="004F4148" w:rsidRDefault="004F4148" w:rsidP="004F4148">
            <w:r>
              <w:t xml:space="preserve">25. The Committee commends the State party on the high percentage of women in Parliament (43 per cent) and welcomes the fact that the Ministry of the Interior has taken measures to increase the representation of women in the police. The Committee is nevertheless concerned about the very low number of women police officers and the underrepresentation of women on the Supreme Court and in decision-making positions in the </w:t>
            </w:r>
            <w:r>
              <w:lastRenderedPageBreak/>
              <w:t xml:space="preserve">foreign service (ambassadors) and in local government. </w:t>
            </w:r>
          </w:p>
          <w:p w14:paraId="35A044F2" w14:textId="77777777" w:rsidR="004F4148" w:rsidRDefault="004F4148" w:rsidP="004F4148">
            <w:pPr>
              <w:rPr>
                <w:b/>
                <w:bCs/>
              </w:rPr>
            </w:pPr>
            <w:r>
              <w:t xml:space="preserve">26. </w:t>
            </w:r>
            <w:r w:rsidRPr="00C448CE">
              <w:rPr>
                <w:b/>
                <w:bCs/>
              </w:rPr>
              <w:t xml:space="preserve">The Committee recommends that the State party: </w:t>
            </w:r>
          </w:p>
          <w:p w14:paraId="6081BDBF" w14:textId="77777777" w:rsidR="004F4148" w:rsidRDefault="004F4148" w:rsidP="004F4148">
            <w:r w:rsidRPr="00C448CE">
              <w:t>(a)</w:t>
            </w:r>
            <w:r w:rsidRPr="00C448CE">
              <w:rPr>
                <w:b/>
                <w:bCs/>
              </w:rPr>
              <w:t xml:space="preserve"> Take prompt targeted measures, including temporary special measures, with clear time frames, in line with article 4 (1) of the Convention and the Committee’s general recommendation No. 25, to rapidly increase the representation of women in the police force, on the Supreme Court and in decision-making positions in the foreign service (ambassadors)</w:t>
            </w:r>
            <w:r>
              <w:t>;”</w:t>
            </w:r>
            <w:r>
              <w:rPr>
                <w:rStyle w:val="FootnoteReference"/>
              </w:rPr>
              <w:footnoteReference w:id="167"/>
            </w:r>
          </w:p>
          <w:p w14:paraId="6C592D50" w14:textId="77777777" w:rsidR="004F4148" w:rsidRDefault="004F4148" w:rsidP="004F4148"/>
          <w:p w14:paraId="342C499A" w14:textId="77777777" w:rsidR="004F4148" w:rsidRDefault="004F4148" w:rsidP="004F4148">
            <w:r>
              <w:rPr>
                <w:b/>
                <w:bCs/>
              </w:rPr>
              <w:t xml:space="preserve">State Report </w:t>
            </w:r>
            <w:r>
              <w:t>(2021):</w:t>
            </w:r>
          </w:p>
          <w:p w14:paraId="22107662" w14:textId="77777777" w:rsidR="004F4148" w:rsidRDefault="004F4148" w:rsidP="004F4148">
            <w:r>
              <w:t>“</w:t>
            </w:r>
            <w:r w:rsidRPr="009B30F7">
              <w:t xml:space="preserve">68. Systematic efforts have been made to </w:t>
            </w:r>
            <w:proofErr w:type="spellStart"/>
            <w:r w:rsidRPr="009B30F7">
              <w:t>equalise</w:t>
            </w:r>
            <w:proofErr w:type="spellEnd"/>
            <w:r w:rsidRPr="009B30F7">
              <w:t xml:space="preserve"> the gender ratio in the Icelandic foreign service, and the percentage of women ambassadors has risen 18 per </w:t>
            </w:r>
            <w:proofErr w:type="spellStart"/>
            <w:r w:rsidRPr="009B30F7">
              <w:t>ce</w:t>
            </w:r>
            <w:proofErr w:type="spellEnd"/>
            <w:r w:rsidRPr="009B30F7">
              <w:t xml:space="preserve"> </w:t>
            </w:r>
            <w:proofErr w:type="spellStart"/>
            <w:r w:rsidRPr="009B30F7">
              <w:t>nt</w:t>
            </w:r>
            <w:proofErr w:type="spellEnd"/>
            <w:r w:rsidRPr="009B30F7">
              <w:t xml:space="preserve"> in the period of 2013–2020, from 20 per cent to 38 per cent.</w:t>
            </w:r>
            <w:r>
              <w:t>”</w:t>
            </w:r>
            <w:r>
              <w:rPr>
                <w:rStyle w:val="FootnoteReference"/>
              </w:rPr>
              <w:footnoteReference w:id="168"/>
            </w:r>
          </w:p>
          <w:p w14:paraId="3AD32447" w14:textId="4C82952C" w:rsidR="004F4148" w:rsidRPr="00662CBC" w:rsidRDefault="004F4148" w:rsidP="003F089C"/>
        </w:tc>
        <w:tc>
          <w:tcPr>
            <w:tcW w:w="903" w:type="pct"/>
            <w:shd w:val="clear" w:color="auto" w:fill="auto"/>
          </w:tcPr>
          <w:p w14:paraId="25BC0EFA" w14:textId="0B580145" w:rsidR="006B76AE" w:rsidRDefault="002B3F37" w:rsidP="006B76AE">
            <w:r>
              <w:rPr>
                <w:b/>
                <w:bCs/>
              </w:rPr>
              <w:lastRenderedPageBreak/>
              <w:t>No armed forces!</w:t>
            </w:r>
            <w:r w:rsidR="006B76AE">
              <w:rPr>
                <w:rStyle w:val="Heading4Char"/>
              </w:rPr>
              <w:t xml:space="preserve"> </w:t>
            </w:r>
            <w:r w:rsidR="006B76AE">
              <w:rPr>
                <w:rStyle w:val="FootnoteReference"/>
              </w:rPr>
              <w:footnoteReference w:id="169"/>
            </w:r>
          </w:p>
          <w:p w14:paraId="51238A23" w14:textId="3A974B16" w:rsidR="004116DF" w:rsidRPr="002B3F37" w:rsidRDefault="004116DF" w:rsidP="00714158">
            <w:pPr>
              <w:rPr>
                <w:b/>
                <w:bCs/>
              </w:rPr>
            </w:pPr>
          </w:p>
        </w:tc>
        <w:tc>
          <w:tcPr>
            <w:tcW w:w="949" w:type="pct"/>
            <w:shd w:val="clear" w:color="auto" w:fill="auto"/>
          </w:tcPr>
          <w:p w14:paraId="09A100A4" w14:textId="0B29F479" w:rsidR="00B6550C" w:rsidRPr="009E60D4" w:rsidRDefault="009E60D4" w:rsidP="005948C5">
            <w:r w:rsidRPr="009E60D4">
              <w:lastRenderedPageBreak/>
              <w:t>No armed forces</w:t>
            </w:r>
          </w:p>
        </w:tc>
        <w:tc>
          <w:tcPr>
            <w:tcW w:w="677" w:type="pct"/>
            <w:shd w:val="clear" w:color="auto" w:fill="auto"/>
          </w:tcPr>
          <w:p w14:paraId="345FC018" w14:textId="41E2040A" w:rsidR="004116DF" w:rsidRDefault="00000000" w:rsidP="00714158">
            <w:pPr>
              <w:rPr>
                <w:b/>
                <w:bCs/>
              </w:rPr>
            </w:pPr>
            <w:hyperlink r:id="rId62" w:history="1">
              <w:r w:rsidR="006A6897" w:rsidRPr="00A45E70">
                <w:rPr>
                  <w:rStyle w:val="Hyperlink"/>
                  <w:b/>
                  <w:bCs/>
                </w:rPr>
                <w:t>NAP</w:t>
              </w:r>
              <w:r w:rsidR="00FF384E" w:rsidRPr="00A45E70">
                <w:rPr>
                  <w:rStyle w:val="Hyperlink"/>
                  <w:b/>
                  <w:bCs/>
                </w:rPr>
                <w:t xml:space="preserve"> </w:t>
              </w:r>
              <w:r w:rsidR="00FF384E" w:rsidRPr="00A45E70">
                <w:rPr>
                  <w:rStyle w:val="Hyperlink"/>
                </w:rPr>
                <w:t>(2008)</w:t>
              </w:r>
            </w:hyperlink>
          </w:p>
          <w:p w14:paraId="2842E1D3" w14:textId="78D59E14" w:rsidR="00FF384E" w:rsidRDefault="00000000" w:rsidP="00FF384E">
            <w:pPr>
              <w:rPr>
                <w:b/>
                <w:bCs/>
              </w:rPr>
            </w:pPr>
            <w:hyperlink r:id="rId63" w:history="1">
              <w:r w:rsidR="00FF384E" w:rsidRPr="005349E3">
                <w:rPr>
                  <w:rStyle w:val="Hyperlink"/>
                  <w:b/>
                  <w:bCs/>
                </w:rPr>
                <w:t>NAP</w:t>
              </w:r>
              <w:r w:rsidR="005F4158" w:rsidRPr="005349E3">
                <w:rPr>
                  <w:rStyle w:val="Hyperlink"/>
                  <w:b/>
                  <w:bCs/>
                </w:rPr>
                <w:t xml:space="preserve"> 2013-2016</w:t>
              </w:r>
              <w:r w:rsidR="00FF384E" w:rsidRPr="005349E3">
                <w:rPr>
                  <w:rStyle w:val="Hyperlink"/>
                  <w:b/>
                  <w:bCs/>
                </w:rPr>
                <w:t xml:space="preserve"> </w:t>
              </w:r>
              <w:r w:rsidR="00FF384E" w:rsidRPr="005349E3">
                <w:rPr>
                  <w:rStyle w:val="Hyperlink"/>
                </w:rPr>
                <w:t>(2013)</w:t>
              </w:r>
            </w:hyperlink>
          </w:p>
          <w:p w14:paraId="28DE2529" w14:textId="4B3335BC" w:rsidR="00FF384E" w:rsidRDefault="00000000" w:rsidP="00FF384E">
            <w:hyperlink r:id="rId64" w:history="1">
              <w:r w:rsidR="00FF384E" w:rsidRPr="004E6660">
                <w:rPr>
                  <w:rStyle w:val="Hyperlink"/>
                  <w:b/>
                  <w:bCs/>
                </w:rPr>
                <w:t xml:space="preserve">NAP 2018-2022 </w:t>
              </w:r>
              <w:r w:rsidR="00FF384E" w:rsidRPr="004E6660">
                <w:rPr>
                  <w:rStyle w:val="Hyperlink"/>
                </w:rPr>
                <w:t>(2018)</w:t>
              </w:r>
            </w:hyperlink>
          </w:p>
          <w:p w14:paraId="3D12BEBA" w14:textId="1BD10172" w:rsidR="0001733E" w:rsidRDefault="0001733E" w:rsidP="00D15977">
            <w:pPr>
              <w:pStyle w:val="ListParagraph"/>
              <w:numPr>
                <w:ilvl w:val="0"/>
                <w:numId w:val="21"/>
              </w:numPr>
            </w:pPr>
            <w:proofErr w:type="gramStart"/>
            <w:r>
              <w:t>Main focus</w:t>
            </w:r>
            <w:proofErr w:type="gramEnd"/>
            <w:r>
              <w:t xml:space="preserve"> on </w:t>
            </w:r>
            <w:r w:rsidRPr="0001733E">
              <w:t>Participation</w:t>
            </w:r>
            <w:r>
              <w:rPr>
                <w:rStyle w:val="FootnoteReference"/>
              </w:rPr>
              <w:footnoteReference w:id="170"/>
            </w:r>
          </w:p>
          <w:p w14:paraId="3C31443C" w14:textId="1CCC3BCE" w:rsidR="00D15977" w:rsidRDefault="00E34C65" w:rsidP="00D15977">
            <w:pPr>
              <w:pStyle w:val="ListParagraph"/>
              <w:numPr>
                <w:ilvl w:val="0"/>
                <w:numId w:val="21"/>
              </w:numPr>
            </w:pPr>
            <w:r>
              <w:t>Precise</w:t>
            </w:r>
            <w:r w:rsidR="00D15977">
              <w:t xml:space="preserve"> measures</w:t>
            </w:r>
          </w:p>
          <w:p w14:paraId="57984D1F" w14:textId="77777777" w:rsidR="003E416F" w:rsidRDefault="003E416F" w:rsidP="003E416F">
            <w:pPr>
              <w:rPr>
                <w:b/>
                <w:bCs/>
              </w:rPr>
            </w:pPr>
            <w:r w:rsidRPr="00C65444">
              <w:t>“</w:t>
            </w:r>
            <w:r w:rsidRPr="00C65444">
              <w:rPr>
                <w:b/>
                <w:bCs/>
              </w:rPr>
              <w:t>Output 2.1. Increased participation of women and subsequent impact on peace and reconstruction,</w:t>
            </w:r>
            <w:r>
              <w:rPr>
                <w:b/>
                <w:bCs/>
              </w:rPr>
              <w:t xml:space="preserve"> </w:t>
            </w:r>
            <w:r w:rsidRPr="00C65444">
              <w:rPr>
                <w:b/>
                <w:bCs/>
              </w:rPr>
              <w:t>in Iceland and internationally.</w:t>
            </w:r>
          </w:p>
          <w:p w14:paraId="08D3776E" w14:textId="77777777" w:rsidR="003E416F" w:rsidRDefault="003E416F" w:rsidP="003E416F">
            <w:pPr>
              <w:rPr>
                <w:b/>
                <w:bCs/>
              </w:rPr>
            </w:pPr>
            <w:r>
              <w:rPr>
                <w:b/>
                <w:bCs/>
              </w:rPr>
              <w:t xml:space="preserve">Crisis response unit: </w:t>
            </w:r>
          </w:p>
          <w:p w14:paraId="42261A25" w14:textId="77777777" w:rsidR="00FF384E" w:rsidRDefault="003E416F" w:rsidP="003F2719">
            <w:r w:rsidRPr="00C65444">
              <w:t>2.1.1. The Iceland Crisis Response Unit shall fill specialist positions in gender equality related matters within NATO.</w:t>
            </w:r>
            <w:r>
              <w:t xml:space="preserve"> — Two positions shall be filled at each time during the period of the National Action Plan, one at the headquarters and one in the field.</w:t>
            </w:r>
            <w:r>
              <w:br/>
            </w:r>
            <w:r w:rsidRPr="00C65444">
              <w:t xml:space="preserve">2.1.2. Seconded </w:t>
            </w:r>
            <w:r w:rsidRPr="00C65444">
              <w:lastRenderedPageBreak/>
              <w:t xml:space="preserve">specialists for humanitarian assistance shall fill specialist positions relating to gender equality within international </w:t>
            </w:r>
            <w:proofErr w:type="spellStart"/>
            <w:r w:rsidRPr="00C65444">
              <w:t>organisations</w:t>
            </w:r>
            <w:proofErr w:type="spellEnd"/>
            <w:r w:rsidRPr="00C65444">
              <w:t xml:space="preserve"> working in the field of humanitarian assistance</w:t>
            </w:r>
            <w:r>
              <w:t xml:space="preserve">. — </w:t>
            </w:r>
            <w:r w:rsidRPr="00C65444">
              <w:t>Two positions shall be filled at each time during the period applicable to the National Action Plan</w:t>
            </w:r>
            <w:r>
              <w:t>.</w:t>
            </w:r>
            <w:r>
              <w:br/>
            </w:r>
            <w:r w:rsidRPr="00C65444">
              <w:t>2.1.3. The male to female ratio of seconded specialists of the Icelandic Crisis Response Unit shall be balanced.</w:t>
            </w:r>
            <w:r>
              <w:t xml:space="preserve"> — The ratio shall be in the range of 60/40 with the Icelandic Crisis Response Unit on the one hand and in humanitarian assistance on the other.</w:t>
            </w:r>
            <w:r>
              <w:br/>
            </w:r>
            <w:r w:rsidRPr="00C65444">
              <w:t xml:space="preserve">2.1.4. The male to female ratio on the list of key parties who work in policy areas related to women, </w:t>
            </w:r>
            <w:proofErr w:type="gramStart"/>
            <w:r w:rsidRPr="00C65444">
              <w:t>peace</w:t>
            </w:r>
            <w:proofErr w:type="gramEnd"/>
            <w:r w:rsidRPr="00C65444">
              <w:t xml:space="preserve"> and security in the Icelandic administration (see activity 1.1.1.) along with the male to female ratio on the senior positions </w:t>
            </w:r>
            <w:r w:rsidRPr="00C65444">
              <w:lastRenderedPageBreak/>
              <w:t>on the list shall be mentioned in the yearly report of the National Action Plan.</w:t>
            </w:r>
            <w:r>
              <w:t xml:space="preserve"> — </w:t>
            </w:r>
            <w:r w:rsidRPr="00C65444">
              <w:t>The ratio shall be in the range of 60/40 with the Icelandic Crisis Response Unit on the one hand and in humanitarian assistance on the other. The yearly progress report shall contain information about the male to female ratio on the list.</w:t>
            </w:r>
            <w:r>
              <w:br/>
            </w:r>
            <w:r>
              <w:br/>
            </w:r>
            <w:r w:rsidRPr="00C65444">
              <w:rPr>
                <w:b/>
                <w:bCs/>
              </w:rPr>
              <w:t>Output 2.2. Support and training of women in conflict zones which is of use in peace processes and reconstruction at an international level.</w:t>
            </w:r>
            <w:r>
              <w:rPr>
                <w:b/>
                <w:bCs/>
              </w:rPr>
              <w:br/>
            </w:r>
            <w:r w:rsidRPr="00C65444">
              <w:t>UNU-GEST shall receive at least 4 women from conflict zones or post-conflict zones yearly who work in the field of women, peace and security.</w:t>
            </w:r>
            <w:r>
              <w:t>”</w:t>
            </w:r>
            <w:r>
              <w:rPr>
                <w:rStyle w:val="FootnoteReference"/>
              </w:rPr>
              <w:footnoteReference w:id="171"/>
            </w:r>
          </w:p>
          <w:p w14:paraId="5B775274" w14:textId="12F44E6F" w:rsidR="003F2719" w:rsidRPr="00662CBC" w:rsidRDefault="003F2719" w:rsidP="003F2719"/>
        </w:tc>
      </w:tr>
      <w:tr w:rsidR="00CB5BD0" w:rsidRPr="00662CBC" w14:paraId="60E457DE" w14:textId="77777777" w:rsidTr="00F37D6B">
        <w:tc>
          <w:tcPr>
            <w:tcW w:w="139" w:type="pct"/>
            <w:shd w:val="clear" w:color="auto" w:fill="auto"/>
          </w:tcPr>
          <w:p w14:paraId="0C5C4F7E"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4C62410E" w14:textId="77777777" w:rsidR="004116DF" w:rsidRPr="00662CBC" w:rsidRDefault="004116DF" w:rsidP="006064D6">
            <w:pPr>
              <w:pStyle w:val="Heading3"/>
            </w:pPr>
            <w:bookmarkStart w:id="26" w:name="_Toc132806710"/>
            <w:r w:rsidRPr="00662CBC">
              <w:t>Ireland</w:t>
            </w:r>
            <w:bookmarkEnd w:id="26"/>
          </w:p>
          <w:p w14:paraId="70669D56" w14:textId="77777777" w:rsidR="004116DF" w:rsidRPr="00662CBC" w:rsidRDefault="004116DF" w:rsidP="006064D6">
            <w:pPr>
              <w:rPr>
                <w:b/>
                <w:bCs/>
                <w:szCs w:val="20"/>
              </w:rPr>
            </w:pPr>
          </w:p>
        </w:tc>
        <w:tc>
          <w:tcPr>
            <w:tcW w:w="855" w:type="pct"/>
            <w:shd w:val="clear" w:color="auto" w:fill="auto"/>
          </w:tcPr>
          <w:p w14:paraId="2E202587" w14:textId="7EBDB0F4" w:rsidR="004116DF" w:rsidRPr="00662CBC" w:rsidRDefault="004116DF" w:rsidP="00714158">
            <w:r w:rsidRPr="00662CBC">
              <w:t>s. NDC submitted by EU</w:t>
            </w:r>
          </w:p>
        </w:tc>
        <w:tc>
          <w:tcPr>
            <w:tcW w:w="1023" w:type="pct"/>
            <w:shd w:val="clear" w:color="auto" w:fill="auto"/>
          </w:tcPr>
          <w:p w14:paraId="05C0DE44" w14:textId="5383353D" w:rsidR="00F208C1" w:rsidRPr="00F208C1" w:rsidRDefault="0045145F" w:rsidP="0045145F">
            <w:pPr>
              <w:rPr>
                <w:b/>
                <w:bCs/>
              </w:rPr>
            </w:pPr>
            <w:r w:rsidRPr="0045145F">
              <w:rPr>
                <w:b/>
                <w:bCs/>
              </w:rPr>
              <w:t>No legislated quota</w:t>
            </w:r>
            <w:r>
              <w:rPr>
                <w:b/>
                <w:bCs/>
              </w:rPr>
              <w:t xml:space="preserve"> </w:t>
            </w:r>
            <w:r w:rsidR="00F208C1">
              <w:rPr>
                <w:b/>
                <w:bCs/>
              </w:rPr>
              <w:t xml:space="preserve">in </w:t>
            </w:r>
            <w:hyperlink r:id="rId65" w:history="1">
              <w:r w:rsidR="00F208C1" w:rsidRPr="003D01A2">
                <w:rPr>
                  <w:rStyle w:val="Hyperlink"/>
                  <w:b/>
                  <w:bCs/>
                </w:rPr>
                <w:t xml:space="preserve">the </w:t>
              </w:r>
              <w:r w:rsidR="003D01A2" w:rsidRPr="003D01A2">
                <w:rPr>
                  <w:rStyle w:val="Hyperlink"/>
                  <w:b/>
                  <w:bCs/>
                </w:rPr>
                <w:t>Public Service Management (Recruitment and Appointments) Act 2004 (No. 33, 2004)</w:t>
              </w:r>
            </w:hyperlink>
          </w:p>
          <w:p w14:paraId="46E58489" w14:textId="77777777" w:rsidR="004116DF" w:rsidRDefault="00F208C1" w:rsidP="00714158">
            <w:r w:rsidRPr="00F208C1">
              <w:t>Public Appointments Service, in this Act referred to as the ‘‘Board’’</w:t>
            </w:r>
          </w:p>
          <w:p w14:paraId="50801FAE" w14:textId="77777777" w:rsidR="003D01A2" w:rsidRDefault="003D01A2" w:rsidP="003F2719">
            <w:r>
              <w:t>“</w:t>
            </w:r>
            <w:r w:rsidRPr="003D01A2">
              <w:rPr>
                <w:b/>
                <w:bCs/>
              </w:rPr>
              <w:t>37</w:t>
            </w:r>
            <w:r w:rsidRPr="003D01A2">
              <w:t>.—</w:t>
            </w:r>
            <w:r w:rsidR="003F2719">
              <w:t xml:space="preserve"> </w:t>
            </w:r>
            <w:r w:rsidRPr="003D01A2">
              <w:t>(1) This section applies to a Board member other than the Chief Executive of the Service.</w:t>
            </w:r>
            <w:r w:rsidR="003F2719">
              <w:br/>
            </w:r>
            <w:r w:rsidRPr="003D01A2">
              <w:t>(2) In appointing persons as members of the Board, the Minister—</w:t>
            </w:r>
            <w:r>
              <w:t xml:space="preserve"> […] </w:t>
            </w:r>
            <w:r w:rsidR="003F2719">
              <w:br/>
            </w:r>
            <w:r w:rsidRPr="003D01A2">
              <w:t>(c) shall have regard to the desirability of an appropriate gender balance as the Minister may determine from time to time.</w:t>
            </w:r>
            <w:r>
              <w:t>”</w:t>
            </w:r>
            <w:r>
              <w:rPr>
                <w:rStyle w:val="FootnoteReference"/>
              </w:rPr>
              <w:footnoteReference w:id="172"/>
            </w:r>
          </w:p>
          <w:p w14:paraId="2CD64925" w14:textId="77777777" w:rsidR="00197921" w:rsidRDefault="00197921" w:rsidP="003F2719"/>
          <w:p w14:paraId="637A0852" w14:textId="77777777" w:rsidR="00DE7F10" w:rsidRPr="009B30F7" w:rsidRDefault="00DE7F10" w:rsidP="00DE7F10">
            <w:r>
              <w:rPr>
                <w:b/>
                <w:bCs/>
              </w:rPr>
              <w:t xml:space="preserve">CEDAW Concluding Observations </w:t>
            </w:r>
            <w:r>
              <w:t>(2017):</w:t>
            </w:r>
          </w:p>
          <w:p w14:paraId="5B9E191D" w14:textId="77777777" w:rsidR="00DE7F10" w:rsidRDefault="00DE7F10" w:rsidP="00DE7F10">
            <w:r>
              <w:t>“</w:t>
            </w:r>
            <w:r w:rsidRPr="00C448CE">
              <w:t xml:space="preserve">Participation in political and public life </w:t>
            </w:r>
          </w:p>
          <w:p w14:paraId="5B3659E1" w14:textId="77777777" w:rsidR="00DE7F10" w:rsidRDefault="00DE7F10" w:rsidP="00DE7F10">
            <w:r w:rsidRPr="00C448CE">
              <w:lastRenderedPageBreak/>
              <w:t xml:space="preserve">34.(c) The low level of participation of </w:t>
            </w:r>
            <w:proofErr w:type="spellStart"/>
            <w:r w:rsidRPr="00C448CE">
              <w:t>Traveller</w:t>
            </w:r>
            <w:proofErr w:type="spellEnd"/>
            <w:r w:rsidRPr="00C448CE">
              <w:t xml:space="preserve">, </w:t>
            </w:r>
            <w:proofErr w:type="gramStart"/>
            <w:r w:rsidRPr="00C448CE">
              <w:t>Roma</w:t>
            </w:r>
            <w:proofErr w:type="gramEnd"/>
            <w:r w:rsidRPr="00C448CE">
              <w:t xml:space="preserve"> and migrant women in political and public life. </w:t>
            </w:r>
          </w:p>
          <w:p w14:paraId="4F22FF9A" w14:textId="77777777" w:rsidR="00DE7F10" w:rsidRDefault="00DE7F10" w:rsidP="00DE7F10">
            <w:r w:rsidRPr="00C448CE">
              <w:t xml:space="preserve">35. </w:t>
            </w:r>
            <w:r w:rsidRPr="00C448CE">
              <w:rPr>
                <w:b/>
                <w:bCs/>
              </w:rPr>
              <w:t xml:space="preserve">The Committee recommends that the State party: </w:t>
            </w:r>
            <w:r>
              <w:rPr>
                <w:b/>
                <w:bCs/>
              </w:rPr>
              <w:br/>
            </w:r>
            <w:r w:rsidRPr="00C448CE">
              <w:t xml:space="preserve">(a) </w:t>
            </w:r>
            <w:r w:rsidRPr="00C448CE">
              <w:rPr>
                <w:b/>
                <w:bCs/>
              </w:rPr>
              <w:t xml:space="preserve">Continue to take targeted measures to further increase women’s representation in political and public life, particularly in Dáil </w:t>
            </w:r>
            <w:proofErr w:type="spellStart"/>
            <w:r w:rsidRPr="00C448CE">
              <w:rPr>
                <w:b/>
                <w:bCs/>
              </w:rPr>
              <w:t>Éireann</w:t>
            </w:r>
            <w:proofErr w:type="spellEnd"/>
            <w:r w:rsidRPr="00C448CE">
              <w:rPr>
                <w:b/>
                <w:bCs/>
              </w:rPr>
              <w:t xml:space="preserve"> (lower house of parliament), the High Court, ministerial positions, State Boards, and senior academic and foreign service positions</w:t>
            </w:r>
            <w:r w:rsidRPr="00C448CE">
              <w:t>;</w:t>
            </w:r>
            <w:r>
              <w:t>”</w:t>
            </w:r>
            <w:r>
              <w:rPr>
                <w:rStyle w:val="FootnoteReference"/>
              </w:rPr>
              <w:footnoteReference w:id="173"/>
            </w:r>
          </w:p>
          <w:p w14:paraId="6CAC9175" w14:textId="2C292AB8" w:rsidR="00197921" w:rsidRPr="00662CBC" w:rsidRDefault="00197921" w:rsidP="003F2719"/>
        </w:tc>
        <w:tc>
          <w:tcPr>
            <w:tcW w:w="903" w:type="pct"/>
            <w:shd w:val="clear" w:color="auto" w:fill="auto"/>
          </w:tcPr>
          <w:p w14:paraId="705BD5E1" w14:textId="77777777" w:rsidR="004116DF" w:rsidRDefault="00F6213D" w:rsidP="00714158">
            <w:r>
              <w:lastRenderedPageBreak/>
              <w:t>—</w:t>
            </w:r>
          </w:p>
          <w:p w14:paraId="58E8504B" w14:textId="50C63732" w:rsidR="00556909" w:rsidRDefault="00556909" w:rsidP="00556909">
            <w:r w:rsidRPr="002E200C">
              <w:rPr>
                <w:b/>
                <w:bCs/>
              </w:rPr>
              <w:t>Note</w:t>
            </w:r>
            <w:r>
              <w:rPr>
                <w:b/>
                <w:bCs/>
              </w:rPr>
              <w:t xml:space="preserve"> </w:t>
            </w:r>
            <w:r w:rsidR="00C438DE">
              <w:rPr>
                <w:b/>
                <w:bCs/>
              </w:rPr>
              <w:t>1</w:t>
            </w:r>
            <w:r w:rsidRPr="00224758">
              <w:t>:</w:t>
            </w:r>
            <w:r w:rsidRPr="002E200C">
              <w:rPr>
                <w:b/>
                <w:bCs/>
              </w:rPr>
              <w:t xml:space="preserve"> </w:t>
            </w:r>
            <w:r>
              <w:rPr>
                <w:b/>
                <w:bCs/>
              </w:rPr>
              <w:t>Reports of sexual harassment and difficult integration</w:t>
            </w:r>
            <w:r>
              <w:t>:</w:t>
            </w:r>
          </w:p>
          <w:p w14:paraId="635D4461" w14:textId="77777777" w:rsidR="00556909" w:rsidRDefault="00556909" w:rsidP="00556909">
            <w:r w:rsidRPr="00216CE2">
              <w:t>"Ireland's armed forces "barely tolerates women", a report into bullying and sexual harassment has found.</w:t>
            </w:r>
            <w:r>
              <w:t xml:space="preserve"> […] </w:t>
            </w:r>
            <w:r w:rsidRPr="00216CE2">
              <w:t>It found that incidents of bullying and rape were covered up and that no sexual harassment cases were officially recorded through the formal complaints process between 2019 to 2021. [In the review, 88% of female respondents surveyed said they had experienced one or more forms of sexual harassment</w:t>
            </w:r>
            <w:r>
              <w:t>.</w:t>
            </w:r>
            <w:r w:rsidRPr="00216CE2">
              <w:t xml:space="preserve">] It also recommended that the </w:t>
            </w:r>
            <w:proofErr w:type="spellStart"/>
            <w:r w:rsidRPr="00216CE2">
              <w:t>Defence</w:t>
            </w:r>
            <w:proofErr w:type="spellEnd"/>
            <w:r w:rsidRPr="00216CE2">
              <w:t xml:space="preserve"> Forces develop new policies on gender, inclusion and diversity and ensure that adequate maternity clothing </w:t>
            </w:r>
            <w:r w:rsidRPr="00216CE2">
              <w:lastRenderedPageBreak/>
              <w:t>is provided to female members.</w:t>
            </w:r>
            <w:r>
              <w:t>”</w:t>
            </w:r>
            <w:r>
              <w:rPr>
                <w:rStyle w:val="FootnoteReference"/>
              </w:rPr>
              <w:footnoteReference w:id="174"/>
            </w:r>
          </w:p>
          <w:p w14:paraId="5EDF2954" w14:textId="77777777" w:rsidR="004C44B1" w:rsidRPr="00216CE2" w:rsidRDefault="004C44B1" w:rsidP="00556909"/>
          <w:p w14:paraId="702BD63A" w14:textId="77777777" w:rsidR="004C44B1" w:rsidRPr="009B30F7" w:rsidRDefault="004C44B1" w:rsidP="004C44B1">
            <w:r>
              <w:rPr>
                <w:b/>
                <w:bCs/>
              </w:rPr>
              <w:t xml:space="preserve">CEDAW Concluding Observations </w:t>
            </w:r>
            <w:r>
              <w:t>(2017):</w:t>
            </w:r>
          </w:p>
          <w:p w14:paraId="5CC66335" w14:textId="77777777" w:rsidR="004C44B1" w:rsidRDefault="004C44B1" w:rsidP="004C44B1">
            <w:r>
              <w:rPr>
                <w:b/>
                <w:bCs/>
              </w:rPr>
              <w:t>“</w:t>
            </w:r>
            <w:r w:rsidRPr="00C448CE">
              <w:rPr>
                <w:b/>
                <w:bCs/>
              </w:rPr>
              <w:t xml:space="preserve">Women, </w:t>
            </w:r>
            <w:proofErr w:type="gramStart"/>
            <w:r w:rsidRPr="00C448CE">
              <w:rPr>
                <w:b/>
                <w:bCs/>
              </w:rPr>
              <w:t>peace</w:t>
            </w:r>
            <w:proofErr w:type="gramEnd"/>
            <w:r w:rsidRPr="00C448CE">
              <w:rPr>
                <w:b/>
                <w:bCs/>
              </w:rPr>
              <w:t xml:space="preserve"> and security </w:t>
            </w:r>
          </w:p>
          <w:p w14:paraId="41D8D713" w14:textId="77777777" w:rsidR="004C44B1" w:rsidRDefault="004C44B1" w:rsidP="004C44B1">
            <w:r w:rsidRPr="00C448CE">
              <w:t xml:space="preserve">36. The Committee welcomes the adoption of the second National Action Plan on Women, </w:t>
            </w:r>
            <w:proofErr w:type="gramStart"/>
            <w:r w:rsidRPr="00C448CE">
              <w:t>Peace</w:t>
            </w:r>
            <w:proofErr w:type="gramEnd"/>
            <w:r w:rsidRPr="00C448CE">
              <w:t xml:space="preserve"> and Security (2015-2018), which addresses domestic and foreign policy, and includes women affected by conflict in the State party. However, the Committee is concerned at the low representation of women in post-conflict reconstruction in the State party. </w:t>
            </w:r>
          </w:p>
          <w:p w14:paraId="36BFC02E" w14:textId="77777777" w:rsidR="004C44B1" w:rsidRPr="009B30F7" w:rsidRDefault="004C44B1" w:rsidP="004C44B1">
            <w:r w:rsidRPr="00C448CE">
              <w:t xml:space="preserve">37. </w:t>
            </w:r>
            <w:r w:rsidRPr="00C448CE">
              <w:rPr>
                <w:b/>
                <w:bCs/>
              </w:rPr>
              <w:t>The Committee urges the State party to continue to give due consideration to the Committee’s general recommendation No. 30 (2013) on women in conflict</w:t>
            </w:r>
            <w:r>
              <w:rPr>
                <w:b/>
                <w:bCs/>
              </w:rPr>
              <w:t xml:space="preserve"> </w:t>
            </w:r>
            <w:r w:rsidRPr="00C448CE">
              <w:rPr>
                <w:b/>
                <w:bCs/>
              </w:rPr>
              <w:t xml:space="preserve">prevention, </w:t>
            </w:r>
            <w:proofErr w:type="gramStart"/>
            <w:r w:rsidRPr="00C448CE">
              <w:rPr>
                <w:b/>
                <w:bCs/>
              </w:rPr>
              <w:t>conflict</w:t>
            </w:r>
            <w:proofErr w:type="gramEnd"/>
            <w:r w:rsidRPr="00C448CE">
              <w:rPr>
                <w:b/>
                <w:bCs/>
              </w:rPr>
              <w:t xml:space="preserve"> and post-conflict situations by ensuring that the National Action Plan on Women, Peace and Security (2015-2018) is </w:t>
            </w:r>
            <w:r w:rsidRPr="00C448CE">
              <w:rPr>
                <w:b/>
                <w:bCs/>
              </w:rPr>
              <w:lastRenderedPageBreak/>
              <w:t>regularly reviewed so as to address all areas of concern in order to ensure durable peace. The Committee further recommends that the State party fully involve women at all stages of the post-conflict reconstruction process, including in decision-making, in line with Security Council resolution 1325 (2000).</w:t>
            </w:r>
            <w:r w:rsidRPr="00C448CE">
              <w:t>”</w:t>
            </w:r>
            <w:r w:rsidRPr="00C448CE">
              <w:rPr>
                <w:rStyle w:val="FootnoteReference"/>
              </w:rPr>
              <w:t xml:space="preserve"> </w:t>
            </w:r>
            <w:r>
              <w:rPr>
                <w:rStyle w:val="FootnoteReference"/>
              </w:rPr>
              <w:footnoteReference w:id="175"/>
            </w:r>
          </w:p>
          <w:p w14:paraId="33552765" w14:textId="74939178" w:rsidR="00556909" w:rsidRPr="00662CBC" w:rsidRDefault="00556909" w:rsidP="00714158"/>
        </w:tc>
        <w:tc>
          <w:tcPr>
            <w:tcW w:w="949" w:type="pct"/>
            <w:shd w:val="clear" w:color="auto" w:fill="auto"/>
          </w:tcPr>
          <w:p w14:paraId="1A3193A6" w14:textId="7EBBBA0B" w:rsidR="006E69F5" w:rsidRPr="006E69F5" w:rsidRDefault="00E370DA" w:rsidP="006E69F5">
            <w:pPr>
              <w:rPr>
                <w:b/>
                <w:bCs/>
              </w:rPr>
            </w:pPr>
            <w:r>
              <w:rPr>
                <w:b/>
                <w:bCs/>
              </w:rPr>
              <w:lastRenderedPageBreak/>
              <w:t xml:space="preserve">No mandatory military service; </w:t>
            </w:r>
            <w:r w:rsidR="006E69F5">
              <w:rPr>
                <w:b/>
                <w:bCs/>
              </w:rPr>
              <w:t xml:space="preserve">Voluntary military service for both </w:t>
            </w:r>
            <w:r>
              <w:rPr>
                <w:b/>
                <w:bCs/>
              </w:rPr>
              <w:t>women and men:</w:t>
            </w:r>
          </w:p>
          <w:p w14:paraId="3A4B201C" w14:textId="41D4C25F" w:rsidR="004116DF" w:rsidRPr="00662CBC" w:rsidRDefault="006E69F5" w:rsidP="006E69F5">
            <w:r>
              <w:t>“</w:t>
            </w:r>
            <w:r w:rsidRPr="006E69F5">
              <w:t xml:space="preserve">18-25 years of age for male and female voluntary military service recruits to the </w:t>
            </w:r>
            <w:proofErr w:type="spellStart"/>
            <w:r w:rsidRPr="006E69F5">
              <w:t>Defence</w:t>
            </w:r>
            <w:proofErr w:type="spellEnd"/>
            <w:r w:rsidRPr="006E69F5">
              <w:t xml:space="preserve"> Forces (18-27 years of age for the Naval Service); 18-26 for cadetship (officer) applicants; 12-year service (5 active, 7 reserves) (2022)</w:t>
            </w:r>
            <w:r w:rsidRPr="006E69F5">
              <w:br/>
            </w:r>
            <w:r w:rsidRPr="006E69F5">
              <w:rPr>
                <w:b/>
                <w:bCs/>
              </w:rPr>
              <w:t>note:</w:t>
            </w:r>
            <w:r w:rsidRPr="006E69F5">
              <w:t> as of 2021, women made up about 7% of the military's full-time personnel</w:t>
            </w:r>
            <w:r w:rsidRPr="006E69F5">
              <w:br/>
            </w:r>
            <w:r w:rsidRPr="006E69F5">
              <w:rPr>
                <w:b/>
                <w:bCs/>
              </w:rPr>
              <w:t>note 2:</w:t>
            </w:r>
            <w:r w:rsidRPr="006E69F5">
              <w:t> the Defense Forces are open to refugees under the Refugee Act of 1996 and nationals of the European Economic Area, which include EU member states, Iceland, Liechtenstein, and Norway</w:t>
            </w:r>
            <w:r>
              <w:t>”</w:t>
            </w:r>
            <w:r w:rsidR="004116DF" w:rsidRPr="005D2F5A">
              <w:rPr>
                <w:rStyle w:val="FootnoteReference"/>
              </w:rPr>
              <w:footnoteReference w:id="176"/>
            </w:r>
          </w:p>
        </w:tc>
        <w:tc>
          <w:tcPr>
            <w:tcW w:w="677" w:type="pct"/>
            <w:shd w:val="clear" w:color="auto" w:fill="auto"/>
          </w:tcPr>
          <w:p w14:paraId="48A5FB12" w14:textId="2E5E1C9B" w:rsidR="007A3864" w:rsidRDefault="00000000" w:rsidP="007A3864">
            <w:hyperlink r:id="rId66" w:history="1">
              <w:r w:rsidR="006A6897" w:rsidRPr="007703DA">
                <w:rPr>
                  <w:rStyle w:val="Hyperlink"/>
                  <w:b/>
                  <w:bCs/>
                </w:rPr>
                <w:t>NAP</w:t>
              </w:r>
              <w:r w:rsidR="007A3864" w:rsidRPr="007703DA">
                <w:rPr>
                  <w:rStyle w:val="Hyperlink"/>
                  <w:b/>
                  <w:bCs/>
                </w:rPr>
                <w:t xml:space="preserve"> 2011-2014 </w:t>
              </w:r>
              <w:r w:rsidR="007A3864" w:rsidRPr="007703DA">
                <w:rPr>
                  <w:rStyle w:val="Hyperlink"/>
                </w:rPr>
                <w:t>(</w:t>
              </w:r>
              <w:r w:rsidR="004B1134" w:rsidRPr="007703DA">
                <w:rPr>
                  <w:rStyle w:val="Hyperlink"/>
                </w:rPr>
                <w:t>2011</w:t>
              </w:r>
              <w:r w:rsidR="007A3864" w:rsidRPr="007703DA">
                <w:rPr>
                  <w:rStyle w:val="Hyperlink"/>
                </w:rPr>
                <w:t>)</w:t>
              </w:r>
            </w:hyperlink>
          </w:p>
          <w:p w14:paraId="49247F06" w14:textId="5706CEB5" w:rsidR="007A3864" w:rsidRDefault="00000000" w:rsidP="007A3864">
            <w:hyperlink r:id="rId67" w:history="1">
              <w:r w:rsidR="007A3864" w:rsidRPr="007703DA">
                <w:rPr>
                  <w:rStyle w:val="Hyperlink"/>
                  <w:b/>
                  <w:bCs/>
                </w:rPr>
                <w:t>NAP</w:t>
              </w:r>
              <w:r w:rsidR="004B1134" w:rsidRPr="007703DA">
                <w:rPr>
                  <w:rStyle w:val="Hyperlink"/>
                </w:rPr>
                <w:t xml:space="preserve"> </w:t>
              </w:r>
              <w:r w:rsidR="007A3864" w:rsidRPr="007703DA">
                <w:rPr>
                  <w:rStyle w:val="Hyperlink"/>
                  <w:b/>
                  <w:bCs/>
                </w:rPr>
                <w:t xml:space="preserve">2015-2018 </w:t>
              </w:r>
              <w:r w:rsidR="007A3864" w:rsidRPr="007703DA">
                <w:rPr>
                  <w:rStyle w:val="Hyperlink"/>
                </w:rPr>
                <w:t>(</w:t>
              </w:r>
              <w:r w:rsidR="004B1134" w:rsidRPr="007703DA">
                <w:rPr>
                  <w:rStyle w:val="Hyperlink"/>
                </w:rPr>
                <w:t>2015</w:t>
              </w:r>
              <w:r w:rsidR="007A3864" w:rsidRPr="007703DA">
                <w:rPr>
                  <w:rStyle w:val="Hyperlink"/>
                </w:rPr>
                <w:t>)</w:t>
              </w:r>
            </w:hyperlink>
          </w:p>
          <w:p w14:paraId="27655FC3" w14:textId="67E4741E" w:rsidR="007A3864" w:rsidRDefault="00000000" w:rsidP="00714158">
            <w:hyperlink r:id="rId68" w:history="1">
              <w:r w:rsidR="007A3864" w:rsidRPr="007703DA">
                <w:rPr>
                  <w:rStyle w:val="Hyperlink"/>
                  <w:b/>
                  <w:bCs/>
                </w:rPr>
                <w:t>N</w:t>
              </w:r>
              <w:r w:rsidR="00FF60F6" w:rsidRPr="007703DA">
                <w:rPr>
                  <w:rStyle w:val="Hyperlink"/>
                  <w:b/>
                  <w:bCs/>
                </w:rPr>
                <w:t xml:space="preserve">AP </w:t>
              </w:r>
              <w:r w:rsidR="007A3864" w:rsidRPr="007703DA">
                <w:rPr>
                  <w:rStyle w:val="Hyperlink"/>
                  <w:b/>
                  <w:bCs/>
                </w:rPr>
                <w:t>2019-2024</w:t>
              </w:r>
              <w:r w:rsidR="007A3864" w:rsidRPr="007703DA">
                <w:rPr>
                  <w:rStyle w:val="Hyperlink"/>
                </w:rPr>
                <w:t xml:space="preserve"> (</w:t>
              </w:r>
              <w:r w:rsidR="00FF60F6" w:rsidRPr="007703DA">
                <w:rPr>
                  <w:rStyle w:val="Hyperlink"/>
                </w:rPr>
                <w:t>2019</w:t>
              </w:r>
              <w:r w:rsidR="007A3864" w:rsidRPr="007703DA">
                <w:rPr>
                  <w:rStyle w:val="Hyperlink"/>
                </w:rPr>
                <w:t>)</w:t>
              </w:r>
            </w:hyperlink>
            <w:r w:rsidR="00CC54B2">
              <w:rPr>
                <w:rStyle w:val="FootnoteReference"/>
              </w:rPr>
              <w:footnoteReference w:id="177"/>
            </w:r>
          </w:p>
          <w:p w14:paraId="77F863E1" w14:textId="77777777" w:rsidR="00716C9E" w:rsidRDefault="00716C9E" w:rsidP="00716C9E">
            <w:pPr>
              <w:pStyle w:val="ListParagraph"/>
              <w:numPr>
                <w:ilvl w:val="0"/>
                <w:numId w:val="21"/>
              </w:numPr>
            </w:pPr>
            <w:proofErr w:type="gramStart"/>
            <w:r>
              <w:t>Main focus</w:t>
            </w:r>
            <w:proofErr w:type="gramEnd"/>
            <w:r>
              <w:t xml:space="preserve"> on </w:t>
            </w:r>
            <w:r w:rsidRPr="0001733E">
              <w:t>Participation</w:t>
            </w:r>
            <w:r>
              <w:rPr>
                <w:rStyle w:val="FootnoteReference"/>
              </w:rPr>
              <w:footnoteReference w:id="178"/>
            </w:r>
          </w:p>
          <w:p w14:paraId="0A39CD65" w14:textId="3850B1F9" w:rsidR="00B73E2E" w:rsidRDefault="00B73E2E" w:rsidP="00716C9E">
            <w:pPr>
              <w:pStyle w:val="ListParagraph"/>
              <w:numPr>
                <w:ilvl w:val="0"/>
                <w:numId w:val="21"/>
              </w:numPr>
            </w:pPr>
            <w:r>
              <w:t xml:space="preserve">Mentions </w:t>
            </w:r>
            <w:proofErr w:type="gramStart"/>
            <w:r>
              <w:t>intersectionality</w:t>
            </w:r>
            <w:proofErr w:type="gramEnd"/>
          </w:p>
          <w:p w14:paraId="45454AEC" w14:textId="65141700" w:rsidR="00B73E2E" w:rsidRDefault="00B73E2E" w:rsidP="00B73E2E">
            <w:r>
              <w:t>“</w:t>
            </w:r>
            <w:r w:rsidR="00320AD6" w:rsidRPr="00320AD6">
              <w:t xml:space="preserve">"An intersectional approach Women are not a homogenous group and face many and varied forms of discrimination including being a member of religious, cultural, ethnic, LGBTQI+ and migrant communities and </w:t>
            </w:r>
            <w:proofErr w:type="gramStart"/>
            <w:r w:rsidR="00320AD6" w:rsidRPr="00320AD6">
              <w:t>as a result of</w:t>
            </w:r>
            <w:proofErr w:type="gramEnd"/>
            <w:r w:rsidR="00320AD6" w:rsidRPr="00320AD6">
              <w:t xml:space="preserve"> experiencing a disability. This can affect their full and meaningful participation at all levels of decision-</w:t>
            </w:r>
            <w:r w:rsidR="00320AD6" w:rsidRPr="00320AD6">
              <w:lastRenderedPageBreak/>
              <w:t xml:space="preserve">making in society. Ireland commits to increasing the active and diverse participation and leadership of women in decision-making roles in political, economic, and social life; in peace and security processes; and in humanitarian action, including in work to prevent crises and reduce humanitarian need and long-term development. This must </w:t>
            </w:r>
            <w:proofErr w:type="gramStart"/>
            <w:r w:rsidR="00320AD6" w:rsidRPr="00320AD6">
              <w:t>take into account</w:t>
            </w:r>
            <w:proofErr w:type="gramEnd"/>
            <w:r w:rsidR="00320AD6" w:rsidRPr="00320AD6">
              <w:t xml:space="preserve"> all barriers to women’s participation, including structural violence.</w:t>
            </w:r>
            <w:r w:rsidR="00320AD6">
              <w:t>”</w:t>
            </w:r>
            <w:r w:rsidR="00320AD6">
              <w:rPr>
                <w:rStyle w:val="FootnoteReference"/>
              </w:rPr>
              <w:t xml:space="preserve"> </w:t>
            </w:r>
            <w:r w:rsidR="00320AD6">
              <w:rPr>
                <w:rStyle w:val="FootnoteReference"/>
              </w:rPr>
              <w:footnoteReference w:id="179"/>
            </w:r>
          </w:p>
          <w:p w14:paraId="5881226E" w14:textId="33A83E16" w:rsidR="00510ECF" w:rsidRDefault="00510ECF" w:rsidP="00510ECF">
            <w:pPr>
              <w:pStyle w:val="ListParagraph"/>
              <w:numPr>
                <w:ilvl w:val="0"/>
                <w:numId w:val="21"/>
              </w:numPr>
            </w:pPr>
            <w:r>
              <w:t>Few precise goals</w:t>
            </w:r>
          </w:p>
          <w:p w14:paraId="1DFD6464" w14:textId="1CB42774" w:rsidR="00510ECF" w:rsidRDefault="00510ECF" w:rsidP="00510ECF">
            <w:r>
              <w:t>“</w:t>
            </w:r>
            <w:r w:rsidRPr="00510ECF">
              <w:t xml:space="preserve">2.2.2 Strengthen advocacy and implementation of WPS principles, including Gender Equality and Women’s Empowerment and women </w:t>
            </w:r>
            <w:proofErr w:type="gramStart"/>
            <w:r w:rsidRPr="00510ECF">
              <w:t>mediators</w:t>
            </w:r>
            <w:proofErr w:type="gramEnd"/>
            <w:r w:rsidR="00F1679C">
              <w:t xml:space="preserve"> </w:t>
            </w:r>
          </w:p>
          <w:p w14:paraId="11EEC23C" w14:textId="6510C347" w:rsidR="00F1679C" w:rsidRDefault="00F1679C" w:rsidP="00510ECF">
            <w:pPr>
              <w:rPr>
                <w:rFonts w:eastAsia="Garamond"/>
              </w:rPr>
            </w:pPr>
            <w:r w:rsidRPr="00EB399B">
              <w:rPr>
                <w:rFonts w:eastAsia="Garamond"/>
              </w:rPr>
              <w:lastRenderedPageBreak/>
              <w:sym w:font="Symbol" w:char="F0AE"/>
            </w:r>
            <w:r>
              <w:rPr>
                <w:rFonts w:eastAsia="Garamond"/>
              </w:rPr>
              <w:t xml:space="preserve"> </w:t>
            </w:r>
            <w:r w:rsidR="00D90AA6">
              <w:rPr>
                <w:rFonts w:eastAsia="Garamond"/>
              </w:rPr>
              <w:t xml:space="preserve">SPECIFIC ACTIVITIES: </w:t>
            </w:r>
            <w:r w:rsidRPr="00F1679C">
              <w:rPr>
                <w:rFonts w:eastAsia="Garamond"/>
              </w:rPr>
              <w:t xml:space="preserve">Support and advocate for the mainstreaming of gender in the operational plans of CSDP Civilian Missions, both as part of Mission Mandates and day-to-day operation of Missions. </w:t>
            </w:r>
            <w:proofErr w:type="spellStart"/>
            <w:r w:rsidRPr="00F1679C">
              <w:rPr>
                <w:rFonts w:eastAsia="Garamond"/>
              </w:rPr>
              <w:t>Refected</w:t>
            </w:r>
            <w:proofErr w:type="spellEnd"/>
            <w:r w:rsidRPr="00F1679C">
              <w:rPr>
                <w:rFonts w:eastAsia="Garamond"/>
              </w:rPr>
              <w:t xml:space="preserve"> in gender quotas in recruitment and deployment of Irish civilian experts to EU CSDP Missions.</w:t>
            </w:r>
          </w:p>
          <w:p w14:paraId="2724D379" w14:textId="36E0B4F0" w:rsidR="00D90AA6" w:rsidRDefault="00D90AA6" w:rsidP="00510ECF">
            <w:pPr>
              <w:rPr>
                <w:rFonts w:eastAsia="Garamond"/>
              </w:rPr>
            </w:pPr>
            <w:r w:rsidRPr="00D90AA6">
              <w:rPr>
                <w:rFonts w:eastAsia="Garamond"/>
              </w:rPr>
              <w:sym w:font="Symbol" w:char="F0AE"/>
            </w:r>
            <w:r>
              <w:rPr>
                <w:rFonts w:eastAsia="Garamond"/>
              </w:rPr>
              <w:t xml:space="preserve"> PREFORMANCE INDICATORS/MILESTONES: </w:t>
            </w:r>
            <w:r w:rsidRPr="00D90AA6">
              <w:rPr>
                <w:rFonts w:eastAsia="Garamond"/>
              </w:rPr>
              <w:t>Gender balance of 40% minimum female/male representation in DFAT deployments.</w:t>
            </w:r>
            <w:r>
              <w:rPr>
                <w:rFonts w:eastAsia="Garamond"/>
              </w:rPr>
              <w:t>”</w:t>
            </w:r>
            <w:r w:rsidR="00BA08C3">
              <w:rPr>
                <w:rStyle w:val="FootnoteReference"/>
              </w:rPr>
              <w:t xml:space="preserve"> </w:t>
            </w:r>
            <w:r w:rsidR="00BA08C3">
              <w:rPr>
                <w:rStyle w:val="FootnoteReference"/>
              </w:rPr>
              <w:footnoteReference w:id="180"/>
            </w:r>
          </w:p>
          <w:p w14:paraId="64D52B20" w14:textId="771794ED" w:rsidR="004B1134" w:rsidRPr="00662CBC" w:rsidRDefault="004B1134" w:rsidP="00714158"/>
        </w:tc>
      </w:tr>
      <w:tr w:rsidR="005A7203" w:rsidRPr="00662CBC" w14:paraId="53B9B8E7" w14:textId="77777777" w:rsidTr="00F37D6B">
        <w:tc>
          <w:tcPr>
            <w:tcW w:w="139" w:type="pct"/>
            <w:shd w:val="clear" w:color="auto" w:fill="auto"/>
          </w:tcPr>
          <w:p w14:paraId="330BD968"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68A04AFD" w14:textId="77777777" w:rsidR="004116DF" w:rsidRPr="00662CBC" w:rsidRDefault="004116DF" w:rsidP="006064D6">
            <w:pPr>
              <w:pStyle w:val="Heading3"/>
            </w:pPr>
            <w:bookmarkStart w:id="27" w:name="_Toc132806711"/>
            <w:commentRangeStart w:id="28"/>
            <w:r w:rsidRPr="00662CBC">
              <w:t xml:space="preserve">Italy </w:t>
            </w:r>
            <w:commentRangeEnd w:id="28"/>
            <w:r w:rsidR="00591960">
              <w:rPr>
                <w:rStyle w:val="CommentReference"/>
                <w:b w:val="0"/>
                <w:bCs w:val="0"/>
                <w:color w:val="auto"/>
              </w:rPr>
              <w:commentReference w:id="28"/>
            </w:r>
            <w:bookmarkEnd w:id="27"/>
          </w:p>
          <w:p w14:paraId="6869AE70" w14:textId="77777777" w:rsidR="004116DF" w:rsidRPr="00662CBC" w:rsidRDefault="004116DF" w:rsidP="006064D6">
            <w:pPr>
              <w:rPr>
                <w:b/>
                <w:bCs/>
                <w:szCs w:val="20"/>
              </w:rPr>
            </w:pPr>
          </w:p>
        </w:tc>
        <w:tc>
          <w:tcPr>
            <w:tcW w:w="855" w:type="pct"/>
            <w:shd w:val="clear" w:color="auto" w:fill="auto"/>
          </w:tcPr>
          <w:p w14:paraId="21C81F4D" w14:textId="50C05D07" w:rsidR="004116DF" w:rsidRPr="00662CBC" w:rsidRDefault="004116DF" w:rsidP="00714158">
            <w:r w:rsidRPr="00662CBC">
              <w:t>s. NDC submitted by EU</w:t>
            </w:r>
          </w:p>
        </w:tc>
        <w:tc>
          <w:tcPr>
            <w:tcW w:w="1023" w:type="pct"/>
            <w:shd w:val="clear" w:color="auto" w:fill="auto"/>
          </w:tcPr>
          <w:p w14:paraId="674D81FF" w14:textId="77777777" w:rsidR="004116DF" w:rsidRDefault="009934C4" w:rsidP="00714158">
            <w:r>
              <w:t>—</w:t>
            </w:r>
          </w:p>
          <w:p w14:paraId="2381005C" w14:textId="77777777" w:rsidR="009934C4" w:rsidRDefault="00000000" w:rsidP="009934C4">
            <w:hyperlink r:id="rId73" w:history="1">
              <w:r w:rsidR="009934C4" w:rsidRPr="00EF7E89">
                <w:rPr>
                  <w:rStyle w:val="Hyperlink"/>
                </w:rPr>
                <w:t>Article 48 Equal Opportunities Code</w:t>
              </w:r>
            </w:hyperlink>
            <w:r w:rsidR="009934C4">
              <w:t xml:space="preserve"> (no English version available) states that </w:t>
            </w:r>
            <w:r w:rsidR="009934C4" w:rsidRPr="00EF7E89">
              <w:t xml:space="preserve">women's presence must be above 1/3 in all activities and hierarchical </w:t>
            </w:r>
            <w:r w:rsidR="009934C4" w:rsidRPr="00EF7E89">
              <w:lastRenderedPageBreak/>
              <w:t>positions in all public sectors.</w:t>
            </w:r>
            <w:r w:rsidR="009934C4">
              <w:t xml:space="preserve"> Whether the foreign service and the military are included is unclear. </w:t>
            </w:r>
          </w:p>
          <w:p w14:paraId="324E6BF1" w14:textId="089056A2" w:rsidR="009934C4" w:rsidRPr="00662CBC" w:rsidRDefault="009934C4" w:rsidP="00714158"/>
        </w:tc>
        <w:tc>
          <w:tcPr>
            <w:tcW w:w="903" w:type="pct"/>
            <w:shd w:val="clear" w:color="auto" w:fill="auto"/>
          </w:tcPr>
          <w:p w14:paraId="777BE275" w14:textId="747A3844" w:rsidR="00107C7F" w:rsidRDefault="009934C4" w:rsidP="008A28A5">
            <w:pPr>
              <w:rPr>
                <w:b/>
                <w:bCs/>
              </w:rPr>
            </w:pPr>
            <w:r>
              <w:rPr>
                <w:b/>
                <w:bCs/>
              </w:rPr>
              <w:lastRenderedPageBreak/>
              <w:t>—</w:t>
            </w:r>
          </w:p>
          <w:p w14:paraId="45B43A90" w14:textId="7DEC90CC" w:rsidR="008A28A5" w:rsidRDefault="008A28A5" w:rsidP="008A28A5">
            <w:r>
              <w:rPr>
                <w:b/>
                <w:bCs/>
              </w:rPr>
              <w:t>Note: Restrictions for women</w:t>
            </w:r>
            <w:r>
              <w:t xml:space="preserve">: </w:t>
            </w:r>
          </w:p>
          <w:p w14:paraId="2E378A58" w14:textId="310C0848" w:rsidR="008A28A5" w:rsidRDefault="008A28A5" w:rsidP="008A28A5">
            <w:r w:rsidRPr="00D4516B">
              <w:t xml:space="preserve">"There are no restrictions on the incorporation of women in the Armed Forces, nor are there </w:t>
            </w:r>
            <w:r w:rsidRPr="00D4516B">
              <w:lastRenderedPageBreak/>
              <w:t>restrictions that apply only to operations. However, the Carabinieri Forces prefer to assign men to operations of its Riot Control Departments."</w:t>
            </w:r>
            <w:r w:rsidRPr="00D4516B">
              <w:rPr>
                <w:rStyle w:val="FootnoteReference"/>
              </w:rPr>
              <w:t xml:space="preserve"> </w:t>
            </w:r>
            <w:r>
              <w:rPr>
                <w:rStyle w:val="FootnoteReference"/>
              </w:rPr>
              <w:footnoteReference w:id="181"/>
            </w:r>
          </w:p>
          <w:p w14:paraId="0DF2C7BF" w14:textId="542FDA67" w:rsidR="00D91017" w:rsidRPr="00D91017" w:rsidRDefault="00CC3895" w:rsidP="00D91017">
            <w:pPr>
              <w:rPr>
                <w:b/>
                <w:bCs/>
              </w:rPr>
            </w:pPr>
            <w:r>
              <w:rPr>
                <w:b/>
                <w:bCs/>
              </w:rPr>
              <w:t>Note 1</w:t>
            </w:r>
            <w:r>
              <w:t xml:space="preserve">: </w:t>
            </w:r>
            <w:r>
              <w:rPr>
                <w:b/>
                <w:bCs/>
              </w:rPr>
              <w:t xml:space="preserve">Institutional mechanism to integrate gender </w:t>
            </w:r>
            <w:r>
              <w:rPr>
                <w:b/>
                <w:bCs/>
              </w:rPr>
              <w:br/>
            </w:r>
            <w:r w:rsidRPr="00D4516B">
              <w:t>“The Office of the Chief of Staff of the Ministry of Defence has a dedicated organisational unit called ‘Equal Opportunities and Gender Perspective’ that includes both women and men. The primary task of the Unit is to implement a gender perspective. It serves as the focal point for the development of gender policies within the Joint Chief of Staff at the MoD. Furthermore, the Unit conducts statistical studies, organises events and trainings on special topics, and establishes media relations, aimed at spreading awareness of gender-related subjects.</w:t>
            </w:r>
            <w:r w:rsidRPr="00D4516B">
              <w:br/>
              <w:t xml:space="preserve">A ‘Joint Council on Gender Perspectives’ has been established by law to advise the Chief of Defence (CoD) on the adoption of </w:t>
            </w:r>
            <w:r w:rsidRPr="00D4516B">
              <w:lastRenderedPageBreak/>
              <w:t>gender perspectives, to implement Women, Peace and Security agenda (WPS) in the Italian Armed Forces, to adopt gender perspectives in all activities, and to improve culture-awareness.”</w:t>
            </w:r>
            <w:r w:rsidRPr="00D4516B">
              <w:rPr>
                <w:rStyle w:val="FootnoteReference"/>
              </w:rPr>
              <w:t xml:space="preserve"> </w:t>
            </w:r>
            <w:r>
              <w:rPr>
                <w:rStyle w:val="FootnoteReference"/>
              </w:rPr>
              <w:footnoteReference w:id="182"/>
            </w:r>
          </w:p>
          <w:p w14:paraId="454D744D" w14:textId="29E53B14" w:rsidR="00D91017" w:rsidRPr="00025EAB" w:rsidRDefault="00D91017" w:rsidP="000D2EB8">
            <w:pPr>
              <w:jc w:val="left"/>
            </w:pPr>
            <w:r>
              <w:rPr>
                <w:b/>
                <w:bCs/>
              </w:rPr>
              <w:t>Note 2: Military equipment/uniforms/facilities for both sexes</w:t>
            </w:r>
            <w:r w:rsidR="000D2EB8">
              <w:rPr>
                <w:b/>
                <w:bCs/>
              </w:rPr>
              <w:t xml:space="preserve"> </w:t>
            </w:r>
            <w:r w:rsidR="000D2EB8">
              <w:rPr>
                <w:b/>
                <w:bCs/>
              </w:rPr>
              <w:br/>
            </w:r>
            <w:r w:rsidRPr="00D4516B">
              <w:t>“</w:t>
            </w:r>
            <w:r w:rsidRPr="006D5B6A">
              <w:t>Since 2000, when women were first admitted to the Armed Forces, military equipment and facilities have been adapted for both women and men. Combat and service uniforms are fit for both women and men. Service uniforms for women are similar in design to the uniform for men but adjusted to women.</w:t>
            </w:r>
            <w:r>
              <w:t>”</w:t>
            </w:r>
            <w:r>
              <w:rPr>
                <w:rStyle w:val="FootnoteReference"/>
              </w:rPr>
              <w:footnoteReference w:id="183"/>
            </w:r>
          </w:p>
          <w:p w14:paraId="47738C75" w14:textId="6C83E2A3" w:rsidR="00D91017" w:rsidRPr="00D4516B" w:rsidRDefault="00D91017" w:rsidP="00D91017">
            <w:pPr>
              <w:rPr>
                <w:b/>
                <w:bCs/>
              </w:rPr>
            </w:pPr>
            <w:r w:rsidRPr="00025EAB">
              <w:rPr>
                <w:b/>
                <w:bCs/>
              </w:rPr>
              <w:t xml:space="preserve">Note 3: </w:t>
            </w:r>
            <w:r>
              <w:rPr>
                <w:b/>
                <w:bCs/>
              </w:rPr>
              <w:t xml:space="preserve">Main reasons women leave the service </w:t>
            </w:r>
            <w:r>
              <w:rPr>
                <w:b/>
                <w:bCs/>
              </w:rPr>
              <w:br/>
            </w:r>
            <w:r w:rsidRPr="00D4516B">
              <w:t>“</w:t>
            </w:r>
            <w:r w:rsidR="00F9458A" w:rsidRPr="00F9458A">
              <w:t>The Armed Forces carry out exit surveys for women and men in order to monitor their reasons for leaving the military.</w:t>
            </w:r>
            <w:r w:rsidR="00F9458A">
              <w:t xml:space="preserve"> […] </w:t>
            </w:r>
            <w:r w:rsidRPr="00D4516B">
              <w:t xml:space="preserve">The main reasons why women tend to leave the Armed Forces are injury, personal undisclosed reasons, expiration of current contract, discharge caused by </w:t>
            </w:r>
            <w:r w:rsidRPr="00D4516B">
              <w:lastRenderedPageBreak/>
              <w:t>illness, transfer to other armed forces, and layoff or death.”</w:t>
            </w:r>
            <w:r w:rsidRPr="00D4516B">
              <w:rPr>
                <w:rStyle w:val="FootnoteReference"/>
              </w:rPr>
              <w:t xml:space="preserve"> </w:t>
            </w:r>
            <w:r>
              <w:rPr>
                <w:rStyle w:val="FootnoteReference"/>
              </w:rPr>
              <w:footnoteReference w:id="184"/>
            </w:r>
          </w:p>
          <w:p w14:paraId="058FCFE0" w14:textId="77777777" w:rsidR="004116DF" w:rsidRPr="00662CBC" w:rsidRDefault="004116DF" w:rsidP="00714158"/>
        </w:tc>
        <w:tc>
          <w:tcPr>
            <w:tcW w:w="949" w:type="pct"/>
            <w:shd w:val="clear" w:color="auto" w:fill="auto"/>
          </w:tcPr>
          <w:p w14:paraId="0E6A543B" w14:textId="499E17A0" w:rsidR="00591960" w:rsidRPr="00591960" w:rsidRDefault="00591960" w:rsidP="001643CF">
            <w:pPr>
              <w:rPr>
                <w:b/>
                <w:bCs/>
              </w:rPr>
            </w:pPr>
            <w:r w:rsidRPr="00591960">
              <w:rPr>
                <w:b/>
                <w:bCs/>
              </w:rPr>
              <w:lastRenderedPageBreak/>
              <w:t>No mandator military service.</w:t>
            </w:r>
          </w:p>
          <w:p w14:paraId="1C7F0906" w14:textId="3DCD7766" w:rsidR="004116DF" w:rsidRPr="00662CBC" w:rsidRDefault="001643CF" w:rsidP="001643CF">
            <w:r>
              <w:t>“</w:t>
            </w:r>
            <w:r w:rsidRPr="001643CF">
              <w:t xml:space="preserve">17-25 years of age for voluntary military service for men and women (some variations on age depending on the military branch); </w:t>
            </w:r>
            <w:r w:rsidRPr="001643CF">
              <w:lastRenderedPageBreak/>
              <w:t xml:space="preserve">voluntary service is a minimum of 12 months with the option to extend in the Armed Forces or compete for positions in the Military Corps of the Italian Red Cross, the State Police, the Carabinieri, the Guardia di </w:t>
            </w:r>
            <w:proofErr w:type="spellStart"/>
            <w:r w:rsidRPr="001643CF">
              <w:t>Finanza</w:t>
            </w:r>
            <w:proofErr w:type="spellEnd"/>
            <w:r w:rsidRPr="001643CF">
              <w:t>, the Penitentiary Police, or the National Fire Brigade; recruits can also volunteer for 4 years military service; conscription abolished 2004 (2022)</w:t>
            </w:r>
            <w:r w:rsidRPr="001643CF">
              <w:br/>
            </w:r>
            <w:r w:rsidRPr="001643CF">
              <w:rPr>
                <w:b/>
                <w:bCs/>
              </w:rPr>
              <w:t>note:</w:t>
            </w:r>
            <w:r w:rsidRPr="001643CF">
              <w:t> women may serve in any military branch; as of 2019, women made up about 6% of the military's full-time personnel</w:t>
            </w:r>
            <w:r>
              <w:t>.”</w:t>
            </w:r>
            <w:r w:rsidR="004116DF" w:rsidRPr="005D2F5A">
              <w:rPr>
                <w:rStyle w:val="FootnoteReference"/>
              </w:rPr>
              <w:footnoteReference w:id="185"/>
            </w:r>
          </w:p>
        </w:tc>
        <w:tc>
          <w:tcPr>
            <w:tcW w:w="677" w:type="pct"/>
            <w:shd w:val="clear" w:color="auto" w:fill="auto"/>
          </w:tcPr>
          <w:p w14:paraId="4B56750B" w14:textId="3334C908" w:rsidR="004B1134" w:rsidRDefault="00000000" w:rsidP="004B1134">
            <w:pPr>
              <w:rPr>
                <w:b/>
                <w:bCs/>
              </w:rPr>
            </w:pPr>
            <w:hyperlink r:id="rId74" w:history="1">
              <w:r w:rsidR="006A6897" w:rsidRPr="00340BE0">
                <w:rPr>
                  <w:rStyle w:val="Hyperlink"/>
                  <w:b/>
                  <w:bCs/>
                </w:rPr>
                <w:t>NAP</w:t>
              </w:r>
              <w:r w:rsidR="0045433E" w:rsidRPr="00340BE0">
                <w:rPr>
                  <w:rStyle w:val="Hyperlink"/>
                </w:rPr>
                <w:t xml:space="preserve"> </w:t>
              </w:r>
              <w:r w:rsidR="0045433E" w:rsidRPr="00340BE0">
                <w:rPr>
                  <w:rStyle w:val="Hyperlink"/>
                  <w:b/>
                  <w:bCs/>
                </w:rPr>
                <w:t xml:space="preserve">2010-2013 </w:t>
              </w:r>
              <w:r w:rsidR="003F2719" w:rsidRPr="00340BE0">
                <w:rPr>
                  <w:rStyle w:val="Hyperlink"/>
                </w:rPr>
                <w:t>(2010)</w:t>
              </w:r>
            </w:hyperlink>
          </w:p>
          <w:p w14:paraId="771A48E1" w14:textId="69A369EB" w:rsidR="003F2719" w:rsidRDefault="00000000" w:rsidP="003F2719">
            <w:pPr>
              <w:rPr>
                <w:b/>
                <w:bCs/>
              </w:rPr>
            </w:pPr>
            <w:hyperlink r:id="rId75" w:history="1">
              <w:r w:rsidR="003F2719" w:rsidRPr="007E2893">
                <w:rPr>
                  <w:rStyle w:val="Hyperlink"/>
                  <w:b/>
                  <w:bCs/>
                </w:rPr>
                <w:t>NAP</w:t>
              </w:r>
              <w:r w:rsidR="0045433E" w:rsidRPr="007E2893">
                <w:rPr>
                  <w:rStyle w:val="Hyperlink"/>
                  <w:b/>
                  <w:bCs/>
                </w:rPr>
                <w:t xml:space="preserve"> 2014-2016</w:t>
              </w:r>
              <w:r w:rsidR="003F2719" w:rsidRPr="007E2893">
                <w:rPr>
                  <w:rStyle w:val="Hyperlink"/>
                  <w:b/>
                  <w:bCs/>
                </w:rPr>
                <w:t xml:space="preserve"> </w:t>
              </w:r>
              <w:r w:rsidR="003F2719" w:rsidRPr="007E2893">
                <w:rPr>
                  <w:rStyle w:val="Hyperlink"/>
                </w:rPr>
                <w:t>(2014)</w:t>
              </w:r>
            </w:hyperlink>
          </w:p>
          <w:p w14:paraId="09A2DA64" w14:textId="51B39EC5" w:rsidR="003F2719" w:rsidRDefault="00000000" w:rsidP="003F2719">
            <w:pPr>
              <w:rPr>
                <w:b/>
                <w:bCs/>
              </w:rPr>
            </w:pPr>
            <w:hyperlink r:id="rId76" w:history="1">
              <w:r w:rsidR="003F2719" w:rsidRPr="007E2893">
                <w:rPr>
                  <w:rStyle w:val="Hyperlink"/>
                  <w:b/>
                  <w:bCs/>
                </w:rPr>
                <w:t xml:space="preserve">NAP </w:t>
              </w:r>
              <w:r w:rsidR="0045433E" w:rsidRPr="007E2893">
                <w:rPr>
                  <w:rStyle w:val="Hyperlink"/>
                  <w:b/>
                  <w:bCs/>
                </w:rPr>
                <w:t xml:space="preserve">2016-2019 </w:t>
              </w:r>
              <w:r w:rsidR="003F2719" w:rsidRPr="007E2893">
                <w:rPr>
                  <w:rStyle w:val="Hyperlink"/>
                </w:rPr>
                <w:t>(2016)</w:t>
              </w:r>
            </w:hyperlink>
          </w:p>
          <w:p w14:paraId="47A0F3DD" w14:textId="17033567" w:rsidR="003F2719" w:rsidRDefault="00000000" w:rsidP="003F2719">
            <w:hyperlink r:id="rId77" w:history="1">
              <w:r w:rsidR="003F2719" w:rsidRPr="00B35A82">
                <w:rPr>
                  <w:rStyle w:val="Hyperlink"/>
                  <w:b/>
                  <w:bCs/>
                </w:rPr>
                <w:t>NAP</w:t>
              </w:r>
              <w:r w:rsidR="0045433E" w:rsidRPr="00B35A82">
                <w:rPr>
                  <w:rStyle w:val="Hyperlink"/>
                  <w:b/>
                  <w:bCs/>
                </w:rPr>
                <w:t xml:space="preserve"> 2020-2024</w:t>
              </w:r>
              <w:r w:rsidR="003F2719" w:rsidRPr="00B35A82">
                <w:rPr>
                  <w:rStyle w:val="Hyperlink"/>
                  <w:b/>
                  <w:bCs/>
                </w:rPr>
                <w:t xml:space="preserve"> </w:t>
              </w:r>
              <w:r w:rsidR="003F2719" w:rsidRPr="00B35A82">
                <w:rPr>
                  <w:rStyle w:val="Hyperlink"/>
                </w:rPr>
                <w:t>(2020)</w:t>
              </w:r>
            </w:hyperlink>
          </w:p>
          <w:p w14:paraId="22F241B4" w14:textId="77777777" w:rsidR="00B35A82" w:rsidRDefault="00B35A82" w:rsidP="00B35A82">
            <w:pPr>
              <w:pStyle w:val="ListParagraph"/>
              <w:numPr>
                <w:ilvl w:val="0"/>
                <w:numId w:val="21"/>
              </w:numPr>
            </w:pPr>
            <w:proofErr w:type="gramStart"/>
            <w:r>
              <w:lastRenderedPageBreak/>
              <w:t>Main focus</w:t>
            </w:r>
            <w:proofErr w:type="gramEnd"/>
            <w:r>
              <w:t xml:space="preserve"> on </w:t>
            </w:r>
            <w:r w:rsidRPr="0001733E">
              <w:t>Participation</w:t>
            </w:r>
            <w:r>
              <w:rPr>
                <w:rStyle w:val="FootnoteReference"/>
              </w:rPr>
              <w:footnoteReference w:id="186"/>
            </w:r>
          </w:p>
          <w:p w14:paraId="410431BA" w14:textId="20CAF431" w:rsidR="00B35A82" w:rsidRDefault="00B35A82" w:rsidP="00B35A82">
            <w:pPr>
              <w:pStyle w:val="ListParagraph"/>
              <w:numPr>
                <w:ilvl w:val="0"/>
                <w:numId w:val="21"/>
              </w:numPr>
            </w:pPr>
            <w:r>
              <w:t>No precise objectives</w:t>
            </w:r>
          </w:p>
          <w:p w14:paraId="6D932A18" w14:textId="204BB8FF" w:rsidR="00DE634D" w:rsidRDefault="00DE634D" w:rsidP="00591960">
            <w:pPr>
              <w:rPr>
                <w:b/>
                <w:bCs/>
              </w:rPr>
            </w:pPr>
          </w:p>
          <w:p w14:paraId="7B1368C1" w14:textId="77777777" w:rsidR="00B35A82" w:rsidRPr="00591960" w:rsidRDefault="00B35A82" w:rsidP="00591960">
            <w:pPr>
              <w:rPr>
                <w:b/>
                <w:bCs/>
              </w:rPr>
            </w:pPr>
          </w:p>
          <w:p w14:paraId="79267740" w14:textId="68848B6B" w:rsidR="004B1134" w:rsidRPr="004B1134" w:rsidRDefault="004B1134" w:rsidP="004B1134">
            <w:pPr>
              <w:rPr>
                <w:b/>
                <w:bCs/>
              </w:rPr>
            </w:pPr>
          </w:p>
        </w:tc>
      </w:tr>
      <w:tr w:rsidR="00CB5BD0" w:rsidRPr="00662CBC" w14:paraId="76A31C77" w14:textId="77777777" w:rsidTr="00F37D6B">
        <w:tc>
          <w:tcPr>
            <w:tcW w:w="139" w:type="pct"/>
            <w:shd w:val="clear" w:color="auto" w:fill="auto"/>
          </w:tcPr>
          <w:p w14:paraId="16F74A11"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27E120FB" w14:textId="77777777" w:rsidR="004116DF" w:rsidRPr="00662CBC" w:rsidRDefault="004116DF" w:rsidP="006064D6">
            <w:pPr>
              <w:pStyle w:val="Heading3"/>
            </w:pPr>
            <w:bookmarkStart w:id="29" w:name="_Toc132806712"/>
            <w:r w:rsidRPr="00662CBC">
              <w:t>Latvia</w:t>
            </w:r>
            <w:bookmarkEnd w:id="29"/>
            <w:r w:rsidRPr="00662CBC">
              <w:t xml:space="preserve"> </w:t>
            </w:r>
          </w:p>
          <w:p w14:paraId="02BAF682" w14:textId="77777777" w:rsidR="004116DF" w:rsidRPr="00662CBC" w:rsidRDefault="004116DF" w:rsidP="006064D6">
            <w:pPr>
              <w:rPr>
                <w:b/>
                <w:bCs/>
                <w:szCs w:val="20"/>
              </w:rPr>
            </w:pPr>
          </w:p>
        </w:tc>
        <w:tc>
          <w:tcPr>
            <w:tcW w:w="855" w:type="pct"/>
            <w:shd w:val="clear" w:color="auto" w:fill="auto"/>
          </w:tcPr>
          <w:p w14:paraId="04BA27D8" w14:textId="1589564C" w:rsidR="004116DF" w:rsidRPr="00662CBC" w:rsidRDefault="004116DF" w:rsidP="00714158">
            <w:r w:rsidRPr="00662CBC">
              <w:t>s. NDC submitted by EU</w:t>
            </w:r>
          </w:p>
        </w:tc>
        <w:tc>
          <w:tcPr>
            <w:tcW w:w="1023" w:type="pct"/>
            <w:shd w:val="clear" w:color="auto" w:fill="auto"/>
          </w:tcPr>
          <w:p w14:paraId="1190F93D" w14:textId="77777777" w:rsidR="004116DF" w:rsidRDefault="00CF2E0A" w:rsidP="00714158">
            <w:r>
              <w:t>—</w:t>
            </w:r>
          </w:p>
          <w:p w14:paraId="72D38A09" w14:textId="2F4A8217" w:rsidR="00CF2E0A" w:rsidRPr="00662CBC" w:rsidRDefault="00CF2E0A" w:rsidP="00714158">
            <w:r>
              <w:t xml:space="preserve">No </w:t>
            </w:r>
            <w:r w:rsidR="0045145F">
              <w:t xml:space="preserve">legislated </w:t>
            </w:r>
            <w:r>
              <w:t xml:space="preserve">quota in </w:t>
            </w:r>
            <w:r w:rsidR="00247D61">
              <w:t xml:space="preserve">the </w:t>
            </w:r>
            <w:hyperlink r:id="rId78" w:history="1">
              <w:r w:rsidR="0054718D" w:rsidRPr="0054718D">
                <w:rPr>
                  <w:rStyle w:val="Hyperlink"/>
                </w:rPr>
                <w:t>State Civil Service Law</w:t>
              </w:r>
            </w:hyperlink>
            <w:r w:rsidR="0054718D">
              <w:t xml:space="preserve"> </w:t>
            </w:r>
          </w:p>
        </w:tc>
        <w:tc>
          <w:tcPr>
            <w:tcW w:w="903" w:type="pct"/>
            <w:shd w:val="clear" w:color="auto" w:fill="auto"/>
          </w:tcPr>
          <w:p w14:paraId="290DB9B8" w14:textId="68BDE5B8" w:rsidR="004116DF" w:rsidRDefault="00CF6218" w:rsidP="00714158">
            <w:r>
              <w:t>—</w:t>
            </w:r>
          </w:p>
          <w:p w14:paraId="450D7CF8" w14:textId="5B6BDB48" w:rsidR="00CF6218" w:rsidRPr="00CF6218" w:rsidRDefault="00CF6218" w:rsidP="00714158">
            <w:pPr>
              <w:rPr>
                <w:b/>
                <w:bCs/>
              </w:rPr>
            </w:pPr>
            <w:r w:rsidRPr="00CF6218">
              <w:rPr>
                <w:b/>
                <w:bCs/>
              </w:rPr>
              <w:t xml:space="preserve">No </w:t>
            </w:r>
            <w:r>
              <w:rPr>
                <w:b/>
                <w:bCs/>
              </w:rPr>
              <w:t>general</w:t>
            </w:r>
            <w:r w:rsidR="0045145F">
              <w:rPr>
                <w:b/>
                <w:bCs/>
              </w:rPr>
              <w:t xml:space="preserve"> legislated</w:t>
            </w:r>
            <w:r>
              <w:rPr>
                <w:b/>
                <w:bCs/>
              </w:rPr>
              <w:t xml:space="preserve"> quota system</w:t>
            </w:r>
          </w:p>
          <w:p w14:paraId="0E9A8391" w14:textId="4DCCD7D4" w:rsidR="00B70F6E" w:rsidRDefault="00B70F6E" w:rsidP="00B70F6E">
            <w:r>
              <w:t>“</w:t>
            </w:r>
            <w:r w:rsidRPr="006D5B6A">
              <w:t>There is no quota system for women or men in the Latvian Armed Forces. There are no restrictions on the incorporation of women in the Armed Forces, nor are there restrictions that apply only to operations.</w:t>
            </w:r>
            <w:r>
              <w:t>”</w:t>
            </w:r>
            <w:r w:rsidRPr="006D5B6A">
              <w:rPr>
                <w:rStyle w:val="FootnoteReference"/>
              </w:rPr>
              <w:t xml:space="preserve"> </w:t>
            </w:r>
            <w:r>
              <w:rPr>
                <w:rStyle w:val="FootnoteReference"/>
              </w:rPr>
              <w:footnoteReference w:id="187"/>
            </w:r>
          </w:p>
          <w:p w14:paraId="4201DDD4" w14:textId="77777777" w:rsidR="00C3032F" w:rsidRPr="006D5B6A" w:rsidRDefault="00C3032F" w:rsidP="00C3032F">
            <w:pPr>
              <w:rPr>
                <w:b/>
                <w:bCs/>
              </w:rPr>
            </w:pPr>
            <w:r>
              <w:rPr>
                <w:b/>
                <w:bCs/>
              </w:rPr>
              <w:t>Note 1</w:t>
            </w:r>
            <w:r>
              <w:t>:</w:t>
            </w:r>
            <w:r w:rsidRPr="006D5B6A">
              <w:rPr>
                <w:b/>
                <w:bCs/>
              </w:rPr>
              <w:t xml:space="preserve"> No institutional </w:t>
            </w:r>
            <w:r>
              <w:rPr>
                <w:b/>
                <w:bCs/>
              </w:rPr>
              <w:t xml:space="preserve">mechanism to integrate gender </w:t>
            </w:r>
            <w:r>
              <w:rPr>
                <w:b/>
                <w:bCs/>
              </w:rPr>
              <w:br/>
            </w:r>
            <w:r>
              <w:t>“</w:t>
            </w:r>
            <w:r w:rsidRPr="006D5B6A">
              <w:t>There is no military entity that deals with the integration of gender perspectives in the Armed Forces Reserves, National Guard and other Military Services.</w:t>
            </w:r>
            <w:r>
              <w:t>”</w:t>
            </w:r>
            <w:r w:rsidRPr="006D5B6A">
              <w:rPr>
                <w:rStyle w:val="FootnoteReference"/>
              </w:rPr>
              <w:t xml:space="preserve"> </w:t>
            </w:r>
            <w:r>
              <w:rPr>
                <w:rStyle w:val="FootnoteReference"/>
              </w:rPr>
              <w:footnoteReference w:id="188"/>
            </w:r>
          </w:p>
          <w:p w14:paraId="38637DB8" w14:textId="5D29819C" w:rsidR="00B70F6E" w:rsidRPr="002D1EEF" w:rsidRDefault="00C3032F" w:rsidP="002D1EEF">
            <w:pPr>
              <w:rPr>
                <w:b/>
                <w:bCs/>
              </w:rPr>
            </w:pPr>
            <w:r>
              <w:rPr>
                <w:b/>
                <w:bCs/>
              </w:rPr>
              <w:lastRenderedPageBreak/>
              <w:t>Note 2: Military equipment/uniforms/facilities not adapted to both sexes</w:t>
            </w:r>
            <w:r>
              <w:rPr>
                <w:rStyle w:val="FootnoteReference"/>
              </w:rPr>
              <w:footnoteReference w:id="189"/>
            </w:r>
          </w:p>
        </w:tc>
        <w:tc>
          <w:tcPr>
            <w:tcW w:w="949" w:type="pct"/>
            <w:shd w:val="clear" w:color="auto" w:fill="auto"/>
          </w:tcPr>
          <w:p w14:paraId="34014A41" w14:textId="042F0EF7" w:rsidR="00543845" w:rsidRPr="00543845" w:rsidRDefault="00543845" w:rsidP="00714158">
            <w:pPr>
              <w:rPr>
                <w:b/>
                <w:bCs/>
              </w:rPr>
            </w:pPr>
            <w:r>
              <w:rPr>
                <w:b/>
                <w:bCs/>
              </w:rPr>
              <w:lastRenderedPageBreak/>
              <w:t xml:space="preserve">No mandatory military </w:t>
            </w:r>
            <w:proofErr w:type="gramStart"/>
            <w:r>
              <w:rPr>
                <w:b/>
                <w:bCs/>
              </w:rPr>
              <w:t>service</w:t>
            </w:r>
            <w:proofErr w:type="gramEnd"/>
            <w:r>
              <w:rPr>
                <w:b/>
                <w:bCs/>
              </w:rPr>
              <w:t xml:space="preserve"> </w:t>
            </w:r>
          </w:p>
          <w:p w14:paraId="20D9AA2A" w14:textId="0E0540C2" w:rsidR="00543845" w:rsidRDefault="00543845" w:rsidP="00543845">
            <w:r>
              <w:t>“18 years of age for voluntary male and female military service; no conscription (abolished 2007) (2023)</w:t>
            </w:r>
          </w:p>
          <w:p w14:paraId="16795A7B" w14:textId="49A1A5B7" w:rsidR="00543845" w:rsidRDefault="00543845" w:rsidP="00543845">
            <w:r w:rsidRPr="00543845">
              <w:rPr>
                <w:b/>
                <w:bCs/>
              </w:rPr>
              <w:t>note 1</w:t>
            </w:r>
            <w:r>
              <w:t>: in 2023, the Latvian Parliament approved a plan to reinstate mandatory military service for men aged 18-27 (women voluntarily) beginning in 2024; service would be for 12 months in the Land Forces or alternatively in internal affairs, health, or welfare structures.</w:t>
            </w:r>
          </w:p>
          <w:p w14:paraId="3A647F18" w14:textId="52D39BAA" w:rsidR="004116DF" w:rsidRPr="00662CBC" w:rsidRDefault="00543845" w:rsidP="00543845">
            <w:r w:rsidRPr="00543845">
              <w:rPr>
                <w:b/>
                <w:bCs/>
              </w:rPr>
              <w:t>note 2</w:t>
            </w:r>
            <w:r>
              <w:t>: as of 2019, women comprised about 16% of the military's full-time personnel.”</w:t>
            </w:r>
            <w:r w:rsidR="004116DF" w:rsidRPr="005D2F5A">
              <w:rPr>
                <w:rStyle w:val="FootnoteReference"/>
              </w:rPr>
              <w:footnoteReference w:id="190"/>
            </w:r>
          </w:p>
        </w:tc>
        <w:tc>
          <w:tcPr>
            <w:tcW w:w="677" w:type="pct"/>
            <w:shd w:val="clear" w:color="auto" w:fill="auto"/>
          </w:tcPr>
          <w:p w14:paraId="1D743FF9" w14:textId="77777777" w:rsidR="00543845" w:rsidRDefault="00000000" w:rsidP="000E6058">
            <w:pPr>
              <w:rPr>
                <w:b/>
                <w:bCs/>
              </w:rPr>
            </w:pPr>
            <w:hyperlink r:id="rId79" w:history="1">
              <w:r w:rsidR="006A6897" w:rsidRPr="00543845">
                <w:rPr>
                  <w:rStyle w:val="Hyperlink"/>
                  <w:b/>
                  <w:bCs/>
                </w:rPr>
                <w:t>NAP</w:t>
              </w:r>
              <w:r w:rsidR="00543845" w:rsidRPr="00543845">
                <w:rPr>
                  <w:rStyle w:val="Hyperlink"/>
                  <w:b/>
                  <w:bCs/>
                </w:rPr>
                <w:t xml:space="preserve"> 2020-202</w:t>
              </w:r>
              <w:r w:rsidR="00543845">
                <w:rPr>
                  <w:rStyle w:val="Hyperlink"/>
                  <w:b/>
                  <w:bCs/>
                </w:rPr>
                <w:t xml:space="preserve">5 </w:t>
              </w:r>
              <w:r w:rsidR="00543845">
                <w:rPr>
                  <w:rStyle w:val="Hyperlink"/>
                </w:rPr>
                <w:t>(2020)</w:t>
              </w:r>
            </w:hyperlink>
          </w:p>
          <w:p w14:paraId="2630303A" w14:textId="77777777" w:rsidR="000E6058" w:rsidRDefault="000E6058" w:rsidP="000E6058">
            <w:r>
              <w:rPr>
                <w:b/>
                <w:bCs/>
              </w:rPr>
              <w:t>Precise goals</w:t>
            </w:r>
            <w:r>
              <w:t>:</w:t>
            </w:r>
          </w:p>
          <w:p w14:paraId="2EF39815" w14:textId="657CD639" w:rsidR="000E6058" w:rsidRDefault="000E6058" w:rsidP="000E6058">
            <w:r>
              <w:t>“</w:t>
            </w:r>
            <w:r w:rsidRPr="000E6058">
              <w:t>Participation of Latvian women as civilian experts in international missions – share of women at least 20%</w:t>
            </w:r>
            <w:r w:rsidR="002D1EEF">
              <w:t>.</w:t>
            </w:r>
            <w:r>
              <w:t>”</w:t>
            </w:r>
            <w:r w:rsidR="0081457E">
              <w:rPr>
                <w:rStyle w:val="FootnoteReference"/>
              </w:rPr>
              <w:footnoteReference w:id="191"/>
            </w:r>
          </w:p>
          <w:p w14:paraId="5BDADED3" w14:textId="31BF99E6" w:rsidR="0081457E" w:rsidRPr="000E6058" w:rsidRDefault="0081457E" w:rsidP="000E6058">
            <w:r>
              <w:t>“</w:t>
            </w:r>
            <w:r w:rsidRPr="0081457E">
              <w:t xml:space="preserve">Training for a selected group of people in the Latvian </w:t>
            </w:r>
            <w:proofErr w:type="spellStart"/>
            <w:r w:rsidRPr="0081457E">
              <w:t>Defence</w:t>
            </w:r>
            <w:proofErr w:type="spellEnd"/>
            <w:r w:rsidRPr="0081457E">
              <w:t xml:space="preserve"> and Internal Affairs sector to create a gender adviser position: 3 gender adviser positions in the Latvian </w:t>
            </w:r>
            <w:proofErr w:type="spellStart"/>
            <w:r w:rsidRPr="0081457E">
              <w:t>Defence</w:t>
            </w:r>
            <w:proofErr w:type="spellEnd"/>
            <w:r w:rsidRPr="0081457E">
              <w:t xml:space="preserve"> sector and 1 gender adviser position in the Latvian Internal Affairs sector </w:t>
            </w:r>
            <w:r w:rsidRPr="0081457E">
              <w:lastRenderedPageBreak/>
              <w:t>in the period from 2020 to 2025</w:t>
            </w:r>
            <w:r w:rsidR="002D1EEF">
              <w:t>.</w:t>
            </w:r>
            <w:r>
              <w:t>”</w:t>
            </w:r>
            <w:r w:rsidR="002D1EEF">
              <w:rPr>
                <w:rStyle w:val="FootnoteReference"/>
              </w:rPr>
              <w:t xml:space="preserve"> </w:t>
            </w:r>
            <w:r w:rsidR="002D1EEF">
              <w:rPr>
                <w:rStyle w:val="FootnoteReference"/>
              </w:rPr>
              <w:footnoteReference w:id="192"/>
            </w:r>
          </w:p>
        </w:tc>
      </w:tr>
      <w:tr w:rsidR="00CB5BD0" w:rsidRPr="00662CBC" w14:paraId="3D123621" w14:textId="77777777" w:rsidTr="00F37D6B">
        <w:tc>
          <w:tcPr>
            <w:tcW w:w="139" w:type="pct"/>
            <w:shd w:val="clear" w:color="auto" w:fill="auto"/>
          </w:tcPr>
          <w:p w14:paraId="6A87FCEF"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7DFF58D4" w14:textId="77777777" w:rsidR="004116DF" w:rsidRPr="00662CBC" w:rsidRDefault="004116DF" w:rsidP="006064D6">
            <w:pPr>
              <w:pStyle w:val="Heading3"/>
            </w:pPr>
            <w:bookmarkStart w:id="30" w:name="_Toc132806713"/>
            <w:r w:rsidRPr="00662CBC">
              <w:t>Liechtenstein</w:t>
            </w:r>
            <w:bookmarkEnd w:id="30"/>
            <w:r w:rsidRPr="00662CBC">
              <w:t xml:space="preserve"> </w:t>
            </w:r>
          </w:p>
        </w:tc>
        <w:tc>
          <w:tcPr>
            <w:tcW w:w="855" w:type="pct"/>
            <w:shd w:val="clear" w:color="auto" w:fill="auto"/>
          </w:tcPr>
          <w:p w14:paraId="0DC7D004" w14:textId="78C4E46C" w:rsidR="004116DF" w:rsidRPr="00662CBC" w:rsidRDefault="00483F98" w:rsidP="00714158">
            <w:r>
              <w:t>—</w:t>
            </w:r>
          </w:p>
        </w:tc>
        <w:tc>
          <w:tcPr>
            <w:tcW w:w="1023" w:type="pct"/>
            <w:shd w:val="clear" w:color="auto" w:fill="auto"/>
          </w:tcPr>
          <w:p w14:paraId="744AB100" w14:textId="77777777" w:rsidR="00E97FBA" w:rsidRDefault="00E97FBA" w:rsidP="006E6FBA">
            <w:pPr>
              <w:jc w:val="left"/>
              <w:rPr>
                <w:b/>
                <w:bCs/>
              </w:rPr>
            </w:pPr>
            <w:r>
              <w:rPr>
                <w:b/>
                <w:bCs/>
              </w:rPr>
              <w:t>—</w:t>
            </w:r>
          </w:p>
          <w:p w14:paraId="75ECF63D" w14:textId="4B722037" w:rsidR="006E6FBA" w:rsidRDefault="006E6FBA" w:rsidP="006E6FBA">
            <w:pPr>
              <w:jc w:val="left"/>
              <w:rPr>
                <w:szCs w:val="20"/>
              </w:rPr>
            </w:pPr>
            <w:r w:rsidRPr="00F61A24">
              <w:rPr>
                <w:b/>
                <w:bCs/>
                <w:szCs w:val="20"/>
              </w:rPr>
              <w:t>CEDAW Concluding Observations (2018):</w:t>
            </w:r>
          </w:p>
          <w:p w14:paraId="1EAF6E5C" w14:textId="77777777" w:rsidR="006E6FBA" w:rsidRDefault="006E6FBA" w:rsidP="006E6FBA">
            <w:pPr>
              <w:jc w:val="left"/>
              <w:rPr>
                <w:b/>
                <w:bCs/>
              </w:rPr>
            </w:pPr>
            <w:r>
              <w:rPr>
                <w:szCs w:val="20"/>
              </w:rPr>
              <w:t>“</w:t>
            </w:r>
            <w:r w:rsidRPr="0006318A">
              <w:rPr>
                <w:b/>
                <w:bCs/>
                <w:szCs w:val="20"/>
              </w:rPr>
              <w:t xml:space="preserve">Participation in political and public life </w:t>
            </w:r>
            <w:r w:rsidRPr="0006318A">
              <w:rPr>
                <w:b/>
                <w:bCs/>
                <w:szCs w:val="20"/>
              </w:rPr>
              <w:br/>
            </w:r>
            <w:r w:rsidRPr="0006318A">
              <w:rPr>
                <w:szCs w:val="20"/>
              </w:rPr>
              <w:t>29. The Committee welcomes the information provided by the State party to the effect that the number of women occupying decision-making positions in the public administration doubled during the reporting period and that gender parity had been achieved in the Government and in the foreign servic</w:t>
            </w:r>
            <w:r>
              <w:rPr>
                <w:szCs w:val="20"/>
              </w:rPr>
              <w:t>e.</w:t>
            </w:r>
            <w:r w:rsidRPr="00F61A24">
              <w:rPr>
                <w:szCs w:val="20"/>
              </w:rPr>
              <w:t>”</w:t>
            </w:r>
            <w:r w:rsidRPr="00AA03E7">
              <w:rPr>
                <w:rStyle w:val="FootnoteReference"/>
              </w:rPr>
              <w:footnoteReference w:id="193"/>
            </w:r>
          </w:p>
          <w:p w14:paraId="36D498A5" w14:textId="6A97B08B" w:rsidR="006E6FBA" w:rsidRPr="00662CBC" w:rsidRDefault="006E6FBA" w:rsidP="00714158"/>
        </w:tc>
        <w:tc>
          <w:tcPr>
            <w:tcW w:w="903" w:type="pct"/>
            <w:shd w:val="clear" w:color="auto" w:fill="auto"/>
          </w:tcPr>
          <w:p w14:paraId="14F0B920" w14:textId="44DFF536" w:rsidR="004116DF" w:rsidRPr="00C1238D" w:rsidRDefault="0045145F" w:rsidP="00714158">
            <w:pPr>
              <w:rPr>
                <w:b/>
                <w:bCs/>
              </w:rPr>
            </w:pPr>
            <w:r w:rsidRPr="0045145F">
              <w:rPr>
                <w:b/>
                <w:bCs/>
              </w:rPr>
              <w:t>No legislated quota</w:t>
            </w:r>
          </w:p>
        </w:tc>
        <w:tc>
          <w:tcPr>
            <w:tcW w:w="949" w:type="pct"/>
            <w:shd w:val="clear" w:color="auto" w:fill="auto"/>
          </w:tcPr>
          <w:p w14:paraId="13F72374" w14:textId="5A8C1026" w:rsidR="004116DF" w:rsidRPr="00A77751" w:rsidRDefault="00A77751" w:rsidP="00714158">
            <w:pPr>
              <w:rPr>
                <w:b/>
                <w:bCs/>
              </w:rPr>
            </w:pPr>
            <w:r w:rsidRPr="00A77751">
              <w:rPr>
                <w:b/>
                <w:bCs/>
              </w:rPr>
              <w:t>No armed forces</w:t>
            </w:r>
          </w:p>
        </w:tc>
        <w:tc>
          <w:tcPr>
            <w:tcW w:w="677" w:type="pct"/>
            <w:shd w:val="clear" w:color="auto" w:fill="auto"/>
          </w:tcPr>
          <w:p w14:paraId="71FAC987" w14:textId="14D69210" w:rsidR="004116DF" w:rsidRPr="00C1238D" w:rsidRDefault="00C1238D" w:rsidP="00714158">
            <w:pPr>
              <w:rPr>
                <w:b/>
                <w:bCs/>
              </w:rPr>
            </w:pPr>
            <w:r w:rsidRPr="00C1238D">
              <w:rPr>
                <w:b/>
                <w:bCs/>
              </w:rPr>
              <w:t>No NAP</w:t>
            </w:r>
          </w:p>
        </w:tc>
      </w:tr>
      <w:tr w:rsidR="00CB5BD0" w:rsidRPr="00662CBC" w14:paraId="094D357A" w14:textId="77777777" w:rsidTr="00F37D6B">
        <w:tc>
          <w:tcPr>
            <w:tcW w:w="139" w:type="pct"/>
            <w:shd w:val="clear" w:color="auto" w:fill="auto"/>
          </w:tcPr>
          <w:p w14:paraId="7EB37404"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4576AA19" w14:textId="77777777" w:rsidR="004116DF" w:rsidRPr="00662CBC" w:rsidRDefault="004116DF" w:rsidP="006064D6">
            <w:pPr>
              <w:pStyle w:val="Heading3"/>
            </w:pPr>
            <w:bookmarkStart w:id="31" w:name="_Toc132806714"/>
            <w:r w:rsidRPr="00662CBC">
              <w:t>Lithuania</w:t>
            </w:r>
            <w:bookmarkEnd w:id="31"/>
            <w:r w:rsidRPr="00662CBC">
              <w:t xml:space="preserve"> </w:t>
            </w:r>
          </w:p>
        </w:tc>
        <w:tc>
          <w:tcPr>
            <w:tcW w:w="855" w:type="pct"/>
            <w:shd w:val="clear" w:color="auto" w:fill="auto"/>
          </w:tcPr>
          <w:p w14:paraId="580A39ED" w14:textId="4E3A718F" w:rsidR="004116DF" w:rsidRPr="00662CBC" w:rsidRDefault="004116DF" w:rsidP="00714158">
            <w:r w:rsidRPr="00662CBC">
              <w:t>s. NDC submitted by EU</w:t>
            </w:r>
          </w:p>
        </w:tc>
        <w:tc>
          <w:tcPr>
            <w:tcW w:w="1023" w:type="pct"/>
            <w:shd w:val="clear" w:color="auto" w:fill="auto"/>
          </w:tcPr>
          <w:p w14:paraId="2E95DF77" w14:textId="432CF034" w:rsidR="004116DF" w:rsidRDefault="0045145F" w:rsidP="00714158">
            <w:pPr>
              <w:rPr>
                <w:b/>
                <w:bCs/>
              </w:rPr>
            </w:pPr>
            <w:r w:rsidRPr="0045145F">
              <w:rPr>
                <w:b/>
                <w:bCs/>
              </w:rPr>
              <w:t>No legislated quota</w:t>
            </w:r>
            <w:r>
              <w:rPr>
                <w:b/>
                <w:bCs/>
              </w:rPr>
              <w:t xml:space="preserve"> </w:t>
            </w:r>
            <w:r w:rsidR="00E64B8C" w:rsidRPr="0030422C">
              <w:rPr>
                <w:rStyle w:val="FootnoteReference"/>
              </w:rPr>
              <w:footnoteReference w:id="194"/>
            </w:r>
          </w:p>
          <w:p w14:paraId="0E1EBABD" w14:textId="77777777" w:rsidR="006E6FBA" w:rsidRDefault="006E6FBA" w:rsidP="00714158"/>
          <w:p w14:paraId="1DD04B8D" w14:textId="77777777" w:rsidR="00565944" w:rsidRDefault="00565944" w:rsidP="00714158"/>
          <w:p w14:paraId="64A8480E" w14:textId="1C858593" w:rsidR="00565944" w:rsidRPr="00662CBC" w:rsidRDefault="00565944" w:rsidP="00714158"/>
        </w:tc>
        <w:tc>
          <w:tcPr>
            <w:tcW w:w="903" w:type="pct"/>
            <w:shd w:val="clear" w:color="auto" w:fill="auto"/>
          </w:tcPr>
          <w:p w14:paraId="4D0C136A" w14:textId="7D593D06" w:rsidR="00280960" w:rsidRDefault="0045145F" w:rsidP="00280960">
            <w:pPr>
              <w:rPr>
                <w:b/>
                <w:bCs/>
              </w:rPr>
            </w:pPr>
            <w:r w:rsidRPr="0045145F">
              <w:rPr>
                <w:b/>
                <w:bCs/>
              </w:rPr>
              <w:lastRenderedPageBreak/>
              <w:t>No legislated quota</w:t>
            </w:r>
            <w:r>
              <w:rPr>
                <w:b/>
                <w:bCs/>
              </w:rPr>
              <w:t xml:space="preserve"> </w:t>
            </w:r>
            <w:r w:rsidR="0030422C" w:rsidRPr="0030422C">
              <w:rPr>
                <w:rStyle w:val="FootnoteReference"/>
              </w:rPr>
              <w:footnoteReference w:id="195"/>
            </w:r>
          </w:p>
          <w:p w14:paraId="3E66101D" w14:textId="6351B806" w:rsidR="00280960" w:rsidRDefault="00280960" w:rsidP="00280960">
            <w:pPr>
              <w:rPr>
                <w:b/>
                <w:bCs/>
              </w:rPr>
            </w:pPr>
            <w:r>
              <w:rPr>
                <w:b/>
                <w:bCs/>
              </w:rPr>
              <w:t>Note</w:t>
            </w:r>
            <w:r w:rsidRPr="00C50216">
              <w:t xml:space="preserve">: </w:t>
            </w:r>
            <w:r>
              <w:rPr>
                <w:b/>
                <w:bCs/>
              </w:rPr>
              <w:t>Suitable military equipment/facilities/uniforms for both sexes.</w:t>
            </w:r>
          </w:p>
          <w:p w14:paraId="6A772CFF" w14:textId="77777777" w:rsidR="00B44515" w:rsidRDefault="00280960" w:rsidP="00280960">
            <w:r w:rsidRPr="00C570FD">
              <w:lastRenderedPageBreak/>
              <w:t xml:space="preserve">"There are no restrictions on the incorporation of women in the Armed Forces, nor are there restrictions that apply only to operations. Military equipment and facilities are adapted for both women and men. There </w:t>
            </w:r>
            <w:proofErr w:type="gramStart"/>
            <w:r w:rsidRPr="00C570FD">
              <w:t>are</w:t>
            </w:r>
            <w:proofErr w:type="gramEnd"/>
            <w:r w:rsidRPr="00C570FD">
              <w:t xml:space="preserve"> no gender-specific restrictions regarding their use. Special sites have been set up for women in military facilities (barracks), as well as on warships and other facilities for international operations. Uniforms are adapted for both women and men."</w:t>
            </w:r>
            <w:r w:rsidRPr="00C570FD">
              <w:rPr>
                <w:rStyle w:val="FootnoteReference"/>
              </w:rPr>
              <w:t xml:space="preserve"> </w:t>
            </w:r>
            <w:r>
              <w:rPr>
                <w:rStyle w:val="FootnoteReference"/>
              </w:rPr>
              <w:footnoteReference w:id="196"/>
            </w:r>
          </w:p>
          <w:p w14:paraId="7C1BA7D2" w14:textId="77777777" w:rsidR="00565944" w:rsidRDefault="00565944" w:rsidP="00280960"/>
          <w:p w14:paraId="4C0215B4" w14:textId="77777777" w:rsidR="00565944" w:rsidRPr="009B30F7" w:rsidRDefault="00565944" w:rsidP="00565944">
            <w:r>
              <w:rPr>
                <w:b/>
                <w:bCs/>
              </w:rPr>
              <w:t xml:space="preserve">CEDAW Concluding Observations </w:t>
            </w:r>
            <w:r>
              <w:t>(2019):</w:t>
            </w:r>
          </w:p>
          <w:p w14:paraId="07078252" w14:textId="77777777" w:rsidR="00565944" w:rsidRDefault="00565944" w:rsidP="00565944">
            <w:r w:rsidRPr="00C448CE">
              <w:rPr>
                <w:b/>
                <w:bCs/>
              </w:rPr>
              <w:t xml:space="preserve">“Women and peace and security </w:t>
            </w:r>
            <w:r>
              <w:rPr>
                <w:b/>
                <w:bCs/>
              </w:rPr>
              <w:br/>
            </w:r>
            <w:r>
              <w:t xml:space="preserve">30. The Committee welcomes the State party’s membership </w:t>
            </w:r>
            <w:proofErr w:type="gramStart"/>
            <w:r>
              <w:t>in</w:t>
            </w:r>
            <w:proofErr w:type="gramEnd"/>
            <w:r>
              <w:t xml:space="preserve"> </w:t>
            </w:r>
            <w:proofErr w:type="gramStart"/>
            <w:r>
              <w:t>a number of</w:t>
            </w:r>
            <w:proofErr w:type="gramEnd"/>
            <w:r>
              <w:t xml:space="preserve"> informal groups of friends under the auspices of the United Nations. It notes that Lithuania is currently drafting its </w:t>
            </w:r>
            <w:r>
              <w:lastRenderedPageBreak/>
              <w:t>second national action plan on the implementation of the women and peace and security agenda of the Security Council and that 3.5 per cent of Lithuanians participating in peacekeeping operations are women.”</w:t>
            </w:r>
            <w:r>
              <w:rPr>
                <w:rStyle w:val="FootnoteReference"/>
              </w:rPr>
              <w:footnoteReference w:id="197"/>
            </w:r>
          </w:p>
          <w:p w14:paraId="26E13EE4" w14:textId="6C85110F" w:rsidR="00565944" w:rsidRPr="00662CBC" w:rsidRDefault="00565944" w:rsidP="00280960"/>
        </w:tc>
        <w:tc>
          <w:tcPr>
            <w:tcW w:w="949" w:type="pct"/>
            <w:shd w:val="clear" w:color="auto" w:fill="auto"/>
          </w:tcPr>
          <w:p w14:paraId="60195A75" w14:textId="23EB5DAC" w:rsidR="00C1364F" w:rsidRPr="007D1A84" w:rsidRDefault="007D1A84" w:rsidP="007C18D9">
            <w:pPr>
              <w:rPr>
                <w:b/>
                <w:bCs/>
              </w:rPr>
            </w:pPr>
            <w:r>
              <w:rPr>
                <w:b/>
                <w:bCs/>
              </w:rPr>
              <w:lastRenderedPageBreak/>
              <w:t xml:space="preserve">Mandatory conscription </w:t>
            </w:r>
            <w:r w:rsidR="001D1143">
              <w:rPr>
                <w:b/>
                <w:bCs/>
              </w:rPr>
              <w:t>for men</w:t>
            </w:r>
          </w:p>
          <w:p w14:paraId="7733DE2A" w14:textId="77777777" w:rsidR="004116DF" w:rsidRDefault="007C18D9" w:rsidP="007C18D9">
            <w:r>
              <w:t>“</w:t>
            </w:r>
            <w:r w:rsidRPr="007C18D9">
              <w:t xml:space="preserve">19-26 years of age for conscripted military service for men; 9-month service obligation; in </w:t>
            </w:r>
            <w:r w:rsidRPr="007C18D9">
              <w:lastRenderedPageBreak/>
              <w:t>2015, Lithuania reinstated conscription after having converted to a professional military in 2008; 18-38 for voluntary service for men and women (2023)</w:t>
            </w:r>
            <w:r w:rsidRPr="007C18D9">
              <w:br/>
            </w:r>
            <w:r w:rsidRPr="007C18D9">
              <w:rPr>
                <w:b/>
                <w:bCs/>
              </w:rPr>
              <w:t>note 1:</w:t>
            </w:r>
            <w:r w:rsidRPr="007C18D9">
              <w:t> Lithuania conscripts up to 4,000 males each year; conscripts are selected using an automated lottery system</w:t>
            </w:r>
            <w:r w:rsidRPr="007C18D9">
              <w:br/>
            </w:r>
            <w:r w:rsidRPr="007C18D9">
              <w:rPr>
                <w:b/>
                <w:bCs/>
              </w:rPr>
              <w:t>note 2:</w:t>
            </w:r>
            <w:r w:rsidRPr="007C18D9">
              <w:t> as of 2019, women comprised about 12% of the military's full-time personnel</w:t>
            </w:r>
            <w:r w:rsidR="004116DF" w:rsidRPr="005D2F5A">
              <w:rPr>
                <w:rStyle w:val="FootnoteReference"/>
              </w:rPr>
              <w:footnoteReference w:id="198"/>
            </w:r>
          </w:p>
          <w:p w14:paraId="5CB91599" w14:textId="2AB6ACEB" w:rsidR="001D1143" w:rsidRPr="001D1143" w:rsidRDefault="001D1143" w:rsidP="007C18D9">
            <w:r>
              <w:rPr>
                <w:b/>
                <w:bCs/>
              </w:rPr>
              <w:t>Debates on including women are ongoing</w:t>
            </w:r>
            <w:r w:rsidRPr="005A24AF">
              <w:rPr>
                <w:rStyle w:val="FootnoteReference"/>
              </w:rPr>
              <w:footnoteReference w:id="199"/>
            </w:r>
          </w:p>
        </w:tc>
        <w:tc>
          <w:tcPr>
            <w:tcW w:w="677" w:type="pct"/>
            <w:shd w:val="clear" w:color="auto" w:fill="auto"/>
          </w:tcPr>
          <w:p w14:paraId="7EEAF0B2" w14:textId="77777777" w:rsidR="004116DF" w:rsidRDefault="00000000" w:rsidP="008F06AB">
            <w:pPr>
              <w:jc w:val="left"/>
              <w:rPr>
                <w:b/>
                <w:bCs/>
              </w:rPr>
            </w:pPr>
            <w:hyperlink r:id="rId80" w:history="1">
              <w:r w:rsidR="006A6897" w:rsidRPr="008F06AB">
                <w:rPr>
                  <w:rStyle w:val="Hyperlink"/>
                  <w:b/>
                  <w:bCs/>
                </w:rPr>
                <w:t>NAP</w:t>
              </w:r>
              <w:r w:rsidR="008F06AB" w:rsidRPr="008F06AB">
                <w:rPr>
                  <w:rStyle w:val="Hyperlink"/>
                  <w:b/>
                  <w:bCs/>
                </w:rPr>
                <w:t xml:space="preserve"> </w:t>
              </w:r>
              <w:r w:rsidR="008F06AB" w:rsidRPr="008F06AB">
                <w:rPr>
                  <w:rStyle w:val="Hyperlink"/>
                </w:rPr>
                <w:t>(2011)</w:t>
              </w:r>
            </w:hyperlink>
          </w:p>
          <w:p w14:paraId="0FA19D94" w14:textId="56B4C172" w:rsidR="008F06AB" w:rsidRDefault="00000000" w:rsidP="008F06AB">
            <w:pPr>
              <w:jc w:val="left"/>
              <w:rPr>
                <w:b/>
                <w:bCs/>
              </w:rPr>
            </w:pPr>
            <w:hyperlink r:id="rId81" w:history="1">
              <w:r w:rsidR="008F06AB" w:rsidRPr="008F06AB">
                <w:rPr>
                  <w:rStyle w:val="Hyperlink"/>
                  <w:b/>
                  <w:bCs/>
                </w:rPr>
                <w:t>NAP 2020-2024</w:t>
              </w:r>
              <w:r w:rsidR="008F06AB" w:rsidRPr="008F06AB">
                <w:rPr>
                  <w:rStyle w:val="Hyperlink"/>
                </w:rPr>
                <w:t>(2020)</w:t>
              </w:r>
            </w:hyperlink>
          </w:p>
          <w:p w14:paraId="402DA036" w14:textId="77777777" w:rsidR="00CE39DB" w:rsidRDefault="00CE39DB" w:rsidP="00CE39DB">
            <w:pPr>
              <w:pStyle w:val="ListParagraph"/>
              <w:numPr>
                <w:ilvl w:val="0"/>
                <w:numId w:val="21"/>
              </w:numPr>
              <w:jc w:val="left"/>
            </w:pPr>
            <w:r>
              <w:t>Dominant</w:t>
            </w:r>
            <w:r w:rsidR="008F06AB">
              <w:t xml:space="preserve"> focus on </w:t>
            </w:r>
            <w:r w:rsidR="008F06AB" w:rsidRPr="0001733E">
              <w:t>Participation</w:t>
            </w:r>
            <w:r w:rsidR="008F06AB">
              <w:rPr>
                <w:rStyle w:val="FootnoteReference"/>
              </w:rPr>
              <w:footnoteReference w:id="200"/>
            </w:r>
          </w:p>
          <w:p w14:paraId="2A3689B2" w14:textId="023ED993" w:rsidR="00E075D9" w:rsidRPr="008F06AB" w:rsidRDefault="00E075D9" w:rsidP="00CE39DB">
            <w:pPr>
              <w:pStyle w:val="ListParagraph"/>
              <w:numPr>
                <w:ilvl w:val="0"/>
                <w:numId w:val="21"/>
              </w:numPr>
              <w:jc w:val="left"/>
            </w:pPr>
            <w:r>
              <w:lastRenderedPageBreak/>
              <w:t>Some form of clear objectives but not in the participatory realm.</w:t>
            </w:r>
            <w:r>
              <w:rPr>
                <w:rStyle w:val="FootnoteReference"/>
              </w:rPr>
              <w:footnoteReference w:id="201"/>
            </w:r>
          </w:p>
        </w:tc>
      </w:tr>
      <w:tr w:rsidR="00CB5BD0" w:rsidRPr="00662CBC" w14:paraId="1A31DCCB" w14:textId="77777777" w:rsidTr="00F37D6B">
        <w:tc>
          <w:tcPr>
            <w:tcW w:w="139" w:type="pct"/>
            <w:shd w:val="clear" w:color="auto" w:fill="auto"/>
          </w:tcPr>
          <w:p w14:paraId="72094B8E"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69A4764D" w14:textId="77777777" w:rsidR="004116DF" w:rsidRPr="00662CBC" w:rsidRDefault="004116DF" w:rsidP="006064D6">
            <w:pPr>
              <w:pStyle w:val="Heading3"/>
            </w:pPr>
            <w:bookmarkStart w:id="32" w:name="_Toc132806715"/>
            <w:r w:rsidRPr="00662CBC">
              <w:t>Luxembourg</w:t>
            </w:r>
            <w:bookmarkEnd w:id="32"/>
          </w:p>
          <w:p w14:paraId="655B6194" w14:textId="77777777" w:rsidR="004116DF" w:rsidRPr="00662CBC" w:rsidRDefault="004116DF" w:rsidP="006064D6">
            <w:pPr>
              <w:rPr>
                <w:b/>
                <w:bCs/>
                <w:szCs w:val="20"/>
              </w:rPr>
            </w:pPr>
          </w:p>
        </w:tc>
        <w:tc>
          <w:tcPr>
            <w:tcW w:w="855" w:type="pct"/>
            <w:shd w:val="clear" w:color="auto" w:fill="auto"/>
          </w:tcPr>
          <w:p w14:paraId="29803513" w14:textId="20AC8AFE" w:rsidR="004116DF" w:rsidRPr="00662CBC" w:rsidRDefault="004116DF" w:rsidP="00714158">
            <w:r w:rsidRPr="00662CBC">
              <w:t>s. NDC submitted by EU</w:t>
            </w:r>
          </w:p>
        </w:tc>
        <w:tc>
          <w:tcPr>
            <w:tcW w:w="1023" w:type="pct"/>
            <w:shd w:val="clear" w:color="auto" w:fill="auto"/>
          </w:tcPr>
          <w:p w14:paraId="78F90F8C" w14:textId="0F4CB70D" w:rsidR="009F5C39" w:rsidRDefault="0045145F" w:rsidP="00714158">
            <w:pPr>
              <w:rPr>
                <w:b/>
                <w:bCs/>
              </w:rPr>
            </w:pPr>
            <w:r w:rsidRPr="0045145F">
              <w:rPr>
                <w:b/>
                <w:bCs/>
              </w:rPr>
              <w:t>No legislated quota</w:t>
            </w:r>
            <w:r>
              <w:rPr>
                <w:b/>
                <w:bCs/>
              </w:rPr>
              <w:t xml:space="preserve"> </w:t>
            </w:r>
          </w:p>
          <w:p w14:paraId="05D678EE" w14:textId="4E03664B" w:rsidR="009F5C39" w:rsidRDefault="009F5C39" w:rsidP="009F5C39">
            <w:r w:rsidRPr="001D5055">
              <w:rPr>
                <w:b/>
                <w:bCs/>
              </w:rPr>
              <w:t>Note</w:t>
            </w:r>
            <w:r w:rsidRPr="001D5055">
              <w:t>:</w:t>
            </w:r>
            <w:r>
              <w:t xml:space="preserve"> The country pursues a</w:t>
            </w:r>
            <w:r w:rsidRPr="001D5055">
              <w:t xml:space="preserve"> </w:t>
            </w:r>
            <w:r w:rsidRPr="009F5C39">
              <w:rPr>
                <w:b/>
                <w:bCs/>
              </w:rPr>
              <w:t>Feminist foreign policy</w:t>
            </w:r>
            <w:r w:rsidRPr="001D5055">
              <w:t xml:space="preserve"> since 2018</w:t>
            </w:r>
            <w:r>
              <w:t xml:space="preserve">, defined by: </w:t>
            </w:r>
            <w:r w:rsidRPr="001D5055">
              <w:t>“acknowledging women’s rights as human rights and systematically defending the fundamental rights of women and girls</w:t>
            </w:r>
            <w:r>
              <w:t>” (para.189), “</w:t>
            </w:r>
            <w:r w:rsidRPr="001D5055">
              <w:t xml:space="preserve">also aims to strengthen the representation and participation of women at all levels, whether in diplomacy, cooperation, </w:t>
            </w:r>
            <w:proofErr w:type="spellStart"/>
            <w:r w:rsidRPr="001D5055">
              <w:t>defence</w:t>
            </w:r>
            <w:proofErr w:type="spellEnd"/>
            <w:r w:rsidRPr="001D5055">
              <w:t xml:space="preserve"> or civilian missions abroad</w:t>
            </w:r>
            <w:r>
              <w:t>” (para. 191).</w:t>
            </w:r>
            <w:r>
              <w:rPr>
                <w:rStyle w:val="FootnoteReference"/>
              </w:rPr>
              <w:footnoteReference w:id="202"/>
            </w:r>
          </w:p>
          <w:p w14:paraId="0FE9FABC" w14:textId="519A5A6B" w:rsidR="009F5C39" w:rsidRPr="009F5C39" w:rsidRDefault="009F5C39" w:rsidP="009F5C39">
            <w:r>
              <w:rPr>
                <w:b/>
                <w:bCs/>
              </w:rPr>
              <w:lastRenderedPageBreak/>
              <w:t>Current numbers</w:t>
            </w:r>
            <w:r>
              <w:t>:</w:t>
            </w:r>
          </w:p>
          <w:p w14:paraId="1E44C196" w14:textId="77777777" w:rsidR="009F5C39" w:rsidRDefault="009F5C39" w:rsidP="009F5C39">
            <w:r>
              <w:t xml:space="preserve">“193. </w:t>
            </w:r>
            <w:r w:rsidRPr="001D5055">
              <w:t>In civilian missions abroad, we strongly encourage equal participation of women. In the past two years, Luxembourg has sent an equal number of women and men to EU election observation missions</w:t>
            </w:r>
            <w:r>
              <w:t>”</w:t>
            </w:r>
            <w:r w:rsidRPr="008F4C40">
              <w:rPr>
                <w:rStyle w:val="FootnoteReference"/>
              </w:rPr>
              <w:t xml:space="preserve"> </w:t>
            </w:r>
            <w:r>
              <w:rPr>
                <w:rStyle w:val="FootnoteReference"/>
              </w:rPr>
              <w:footnoteReference w:id="203"/>
            </w:r>
          </w:p>
          <w:p w14:paraId="4EC34F50" w14:textId="77777777" w:rsidR="009F5C39" w:rsidRPr="001D5055" w:rsidRDefault="009F5C39" w:rsidP="009F5C39">
            <w:r>
              <w:t>“</w:t>
            </w:r>
            <w:r w:rsidRPr="001D5055">
              <w:t xml:space="preserve">196. We want to look at where we stand rather than give lessons to others. A lot has happened in recent years. Without adopting an active quota policy, the Ministry of Foreign Affairs has achieved a 50/50 quota in its recruitment over the past few years. Simply because we only looked at skills when employing young people. From the first woman in the diplomatic corps in 1979, we have gone to 29 women in 2015, and just 3 years later, in 2018, to 50 out of a total of 143 civil servants. This is 35% of the corps, and the trend goes up. Of 40 ambassadors today, 13 are women. Our ministry supports parental leave and all the other measures, such as working from home or part-time work, for those of our colleagues who want to commit more time to </w:t>
            </w:r>
            <w:r w:rsidRPr="001D5055">
              <w:lastRenderedPageBreak/>
              <w:t xml:space="preserve">family life. This is a cultural revolution for a field – diplomacy – in which women have long been </w:t>
            </w:r>
            <w:proofErr w:type="spellStart"/>
            <w:r w:rsidRPr="001D5055">
              <w:t>marginalised</w:t>
            </w:r>
            <w:proofErr w:type="spellEnd"/>
            <w:r w:rsidRPr="001D5055">
              <w:t>, and where the word “</w:t>
            </w:r>
            <w:proofErr w:type="spellStart"/>
            <w:r w:rsidRPr="001D5055">
              <w:t>ambassadrice</w:t>
            </w:r>
            <w:proofErr w:type="spellEnd"/>
            <w:r w:rsidRPr="001D5055">
              <w:t>” traditionally referred to the ambassador’s wife.</w:t>
            </w:r>
            <w:r>
              <w:t>”</w:t>
            </w:r>
            <w:r w:rsidRPr="008F4C40">
              <w:rPr>
                <w:rStyle w:val="FootnoteReference"/>
              </w:rPr>
              <w:t xml:space="preserve"> </w:t>
            </w:r>
            <w:r>
              <w:rPr>
                <w:rStyle w:val="FootnoteReference"/>
              </w:rPr>
              <w:footnoteReference w:id="204"/>
            </w:r>
          </w:p>
          <w:p w14:paraId="18E12AD5" w14:textId="4E422654" w:rsidR="009F5C39" w:rsidRPr="00A66DF4" w:rsidRDefault="009F5C39" w:rsidP="00714158">
            <w:pPr>
              <w:rPr>
                <w:b/>
                <w:bCs/>
              </w:rPr>
            </w:pPr>
          </w:p>
        </w:tc>
        <w:tc>
          <w:tcPr>
            <w:tcW w:w="903" w:type="pct"/>
            <w:shd w:val="clear" w:color="auto" w:fill="auto"/>
          </w:tcPr>
          <w:p w14:paraId="6EB1AF4C" w14:textId="2F4F9655" w:rsidR="009F5C39" w:rsidRDefault="0045145F" w:rsidP="001E48DC">
            <w:pPr>
              <w:spacing w:after="0"/>
              <w:rPr>
                <w:b/>
                <w:bCs/>
              </w:rPr>
            </w:pPr>
            <w:r w:rsidRPr="0045145F">
              <w:rPr>
                <w:b/>
                <w:bCs/>
              </w:rPr>
              <w:lastRenderedPageBreak/>
              <w:t>No legislated quota</w:t>
            </w:r>
            <w:r>
              <w:rPr>
                <w:b/>
                <w:bCs/>
              </w:rPr>
              <w:t xml:space="preserve"> </w:t>
            </w:r>
          </w:p>
          <w:p w14:paraId="6062EFA1" w14:textId="298BAE7D" w:rsidR="001E48DC" w:rsidRDefault="001E48DC" w:rsidP="001E48DC">
            <w:pPr>
              <w:spacing w:after="0"/>
              <w:rPr>
                <w:b/>
                <w:bCs/>
              </w:rPr>
            </w:pPr>
            <w:r>
              <w:rPr>
                <w:b/>
                <w:bCs/>
              </w:rPr>
              <w:t>Note: I</w:t>
            </w:r>
            <w:r w:rsidRPr="00220FBE">
              <w:rPr>
                <w:b/>
                <w:bCs/>
              </w:rPr>
              <w:t>nstitutional</w:t>
            </w:r>
            <w:r>
              <w:rPr>
                <w:b/>
                <w:bCs/>
              </w:rPr>
              <w:t xml:space="preserve"> integration of gender</w:t>
            </w:r>
          </w:p>
          <w:p w14:paraId="4E8FD33F" w14:textId="5C1668C7" w:rsidR="001E48DC" w:rsidRPr="00C570FD" w:rsidRDefault="001E48DC" w:rsidP="001E48DC">
            <w:pPr>
              <w:spacing w:after="0"/>
            </w:pPr>
            <w:r w:rsidRPr="00C570FD">
              <w:t xml:space="preserve">“In 2017 </w:t>
            </w:r>
            <w:proofErr w:type="spellStart"/>
            <w:r w:rsidRPr="00C570FD">
              <w:t>specialised</w:t>
            </w:r>
            <w:proofErr w:type="spellEnd"/>
            <w:r w:rsidRPr="00C570FD">
              <w:t xml:space="preserve"> policies related to the implementation of gender perspectives in the Armed Forces of Luxembourg were enforced. Ongoing participation between the Luxembourg Armed Forced and the Interdepartmental Committee on Equality between Men and Women has instituted an initiative to </w:t>
            </w:r>
            <w:r w:rsidRPr="00C570FD">
              <w:lastRenderedPageBreak/>
              <w:t>improve the recruitment practices to attract more women.”</w:t>
            </w:r>
            <w:r>
              <w:rPr>
                <w:rStyle w:val="FootnoteReference"/>
              </w:rPr>
              <w:t xml:space="preserve"> </w:t>
            </w:r>
            <w:r>
              <w:rPr>
                <w:rStyle w:val="FootnoteReference"/>
              </w:rPr>
              <w:footnoteReference w:id="205"/>
            </w:r>
          </w:p>
          <w:p w14:paraId="6FC587D7" w14:textId="60C52922" w:rsidR="00E47D23" w:rsidRPr="00E47D23" w:rsidRDefault="00AC0789" w:rsidP="00E47D23">
            <w:pPr>
              <w:rPr>
                <w:i/>
                <w:iCs/>
                <w:caps/>
                <w:color w:val="858585" w:themeColor="accent2" w:themeShade="BF"/>
                <w:spacing w:val="10"/>
              </w:rPr>
            </w:pPr>
            <w:r>
              <w:rPr>
                <w:b/>
                <w:bCs/>
              </w:rPr>
              <w:t xml:space="preserve">Note </w:t>
            </w:r>
            <w:r w:rsidR="001E48DC">
              <w:rPr>
                <w:b/>
                <w:bCs/>
              </w:rPr>
              <w:t>2</w:t>
            </w:r>
            <w:r w:rsidRPr="00C50216">
              <w:t xml:space="preserve">: </w:t>
            </w:r>
            <w:r>
              <w:rPr>
                <w:b/>
                <w:bCs/>
              </w:rPr>
              <w:t>Adapted military equipment/facilities/uniforms for both sexes.</w:t>
            </w:r>
            <w:r w:rsidR="003B7A39">
              <w:rPr>
                <w:rStyle w:val="Heading7Char"/>
              </w:rPr>
              <w:t xml:space="preserve"> </w:t>
            </w:r>
            <w:r w:rsidR="003B7A39">
              <w:rPr>
                <w:rStyle w:val="FootnoteReference"/>
              </w:rPr>
              <w:footnoteReference w:id="206"/>
            </w:r>
          </w:p>
          <w:p w14:paraId="3B46B7C6" w14:textId="77777777" w:rsidR="00AC0789" w:rsidRDefault="00E47D23" w:rsidP="00714158">
            <w:r>
              <w:t>“</w:t>
            </w:r>
            <w:r w:rsidRPr="00E47D23">
              <w:t>There is no quota system for women or men in the Armed Forces of Luxembourg. There are no restrictions on the incorporation of women in the Armed Forces, nor are there restrictions that apply only to operations.</w:t>
            </w:r>
            <w:r w:rsidR="00CD698A">
              <w:t xml:space="preserve"> </w:t>
            </w:r>
            <w:r w:rsidR="00CD698A" w:rsidRPr="00CD698A">
              <w:t>The Human Resources (HR) Department is the managing entity for the integration of a gender perspective in the military. Moreover, military equipment, facilities and uniforms are adapted for both men and women</w:t>
            </w:r>
            <w:r>
              <w:t>”</w:t>
            </w:r>
            <w:r>
              <w:rPr>
                <w:rStyle w:val="FootnoteReference"/>
              </w:rPr>
              <w:t xml:space="preserve"> </w:t>
            </w:r>
            <w:r>
              <w:rPr>
                <w:rStyle w:val="FootnoteReference"/>
              </w:rPr>
              <w:footnoteReference w:id="207"/>
            </w:r>
          </w:p>
          <w:p w14:paraId="56EF88A0" w14:textId="77777777" w:rsidR="00DF509D" w:rsidRDefault="00DF509D" w:rsidP="00DF509D"/>
          <w:p w14:paraId="3E595271" w14:textId="77777777" w:rsidR="00DF509D" w:rsidRPr="009B30F7" w:rsidRDefault="00DF509D" w:rsidP="00DF509D">
            <w:r>
              <w:rPr>
                <w:b/>
                <w:bCs/>
              </w:rPr>
              <w:t xml:space="preserve">CEDAW Concluding Observations </w:t>
            </w:r>
            <w:r>
              <w:t>(2018):</w:t>
            </w:r>
          </w:p>
          <w:p w14:paraId="03BC9D9C" w14:textId="77777777" w:rsidR="00DF509D" w:rsidRDefault="00DF509D" w:rsidP="00DF509D">
            <w:r>
              <w:t>“</w:t>
            </w:r>
            <w:r w:rsidRPr="00DA6A32">
              <w:rPr>
                <w:b/>
                <w:bCs/>
              </w:rPr>
              <w:t xml:space="preserve">Women and peace and security </w:t>
            </w:r>
            <w:r w:rsidRPr="00DA6A32">
              <w:rPr>
                <w:b/>
                <w:bCs/>
              </w:rPr>
              <w:br/>
            </w:r>
            <w:r w:rsidRPr="00DA6A32">
              <w:t xml:space="preserve">37. The Committee regrets the absence of a national action plan </w:t>
            </w:r>
            <w:r w:rsidRPr="00DA6A32">
              <w:lastRenderedPageBreak/>
              <w:t>for the implementation of Security Council resolution 1325 (2000) on women and peace and security, which has a negative impact on the participation of women in peace processes.</w:t>
            </w:r>
            <w:r>
              <w:t>”</w:t>
            </w:r>
            <w:r>
              <w:rPr>
                <w:rStyle w:val="FootnoteReference"/>
              </w:rPr>
              <w:footnoteReference w:id="208"/>
            </w:r>
          </w:p>
          <w:p w14:paraId="1134DAB7" w14:textId="5F7FE1F7" w:rsidR="00DF509D" w:rsidRPr="00DF509D" w:rsidRDefault="00DF509D" w:rsidP="00DF509D">
            <w:pPr>
              <w:jc w:val="right"/>
            </w:pPr>
          </w:p>
        </w:tc>
        <w:tc>
          <w:tcPr>
            <w:tcW w:w="949" w:type="pct"/>
            <w:shd w:val="clear" w:color="auto" w:fill="auto"/>
          </w:tcPr>
          <w:p w14:paraId="5DCEF4E0" w14:textId="077C7F6E" w:rsidR="00C438DE" w:rsidRPr="00C438DE" w:rsidRDefault="00C438DE" w:rsidP="005341EF">
            <w:r>
              <w:rPr>
                <w:b/>
                <w:bCs/>
              </w:rPr>
              <w:lastRenderedPageBreak/>
              <w:t>No mandatory service</w:t>
            </w:r>
            <w:r>
              <w:t>.</w:t>
            </w:r>
          </w:p>
          <w:p w14:paraId="39AA785D" w14:textId="365B0B58" w:rsidR="004116DF" w:rsidRPr="00662CBC" w:rsidRDefault="005341EF" w:rsidP="005341EF">
            <w:r>
              <w:t>“</w:t>
            </w:r>
            <w:r w:rsidRPr="005341EF">
              <w:t>18-26 years of age for voluntary military service for men and women; no conscription (abolished 1969) (2022)</w:t>
            </w:r>
            <w:r w:rsidRPr="005341EF">
              <w:br/>
            </w:r>
            <w:r w:rsidRPr="005341EF">
              <w:rPr>
                <w:b/>
                <w:bCs/>
              </w:rPr>
              <w:t>note 1: </w:t>
            </w:r>
            <w:r w:rsidRPr="005341EF">
              <w:t>since 2003, the Army has allowed EU citizens 18-24 years of age who have been a resident in the country for at least 36 months to volunteer</w:t>
            </w:r>
            <w:r w:rsidRPr="005341EF">
              <w:rPr>
                <w:b/>
                <w:bCs/>
              </w:rPr>
              <w:br/>
              <w:t>note 2:</w:t>
            </w:r>
            <w:r w:rsidRPr="005341EF">
              <w:t> as of 2019, women made up about 8% of the military's full-time personnel</w:t>
            </w:r>
            <w:r>
              <w:t>.”</w:t>
            </w:r>
            <w:r w:rsidRPr="005341EF">
              <w:rPr>
                <w:vertAlign w:val="superscript"/>
              </w:rPr>
              <w:t xml:space="preserve"> </w:t>
            </w:r>
            <w:r w:rsidR="004116DF" w:rsidRPr="005D2F5A">
              <w:rPr>
                <w:rStyle w:val="FootnoteReference"/>
              </w:rPr>
              <w:footnoteReference w:id="209"/>
            </w:r>
          </w:p>
        </w:tc>
        <w:tc>
          <w:tcPr>
            <w:tcW w:w="677" w:type="pct"/>
            <w:shd w:val="clear" w:color="auto" w:fill="auto"/>
          </w:tcPr>
          <w:p w14:paraId="6335CDF7" w14:textId="77777777" w:rsidR="004116DF" w:rsidRDefault="00000000" w:rsidP="00714158">
            <w:pPr>
              <w:rPr>
                <w:b/>
                <w:bCs/>
              </w:rPr>
            </w:pPr>
            <w:hyperlink r:id="rId82" w:history="1">
              <w:r w:rsidR="006A6897" w:rsidRPr="001742AA">
                <w:rPr>
                  <w:rStyle w:val="Hyperlink"/>
                  <w:b/>
                  <w:bCs/>
                </w:rPr>
                <w:t>NAP</w:t>
              </w:r>
              <w:r w:rsidR="001742AA" w:rsidRPr="001742AA">
                <w:rPr>
                  <w:rStyle w:val="Hyperlink"/>
                  <w:b/>
                  <w:bCs/>
                </w:rPr>
                <w:t xml:space="preserve"> 2018-2023 </w:t>
              </w:r>
              <w:r w:rsidR="001742AA" w:rsidRPr="001742AA">
                <w:rPr>
                  <w:rStyle w:val="Hyperlink"/>
                </w:rPr>
                <w:t>(2023)</w:t>
              </w:r>
            </w:hyperlink>
          </w:p>
          <w:p w14:paraId="2A9B5D14" w14:textId="77777777" w:rsidR="00CE39DB" w:rsidRDefault="00453A05" w:rsidP="00CE39DB">
            <w:pPr>
              <w:pStyle w:val="ListParagraph"/>
              <w:numPr>
                <w:ilvl w:val="0"/>
                <w:numId w:val="21"/>
              </w:numPr>
            </w:pPr>
            <w:r>
              <w:t>Dominant focus is participation</w:t>
            </w:r>
            <w:r>
              <w:rPr>
                <w:rStyle w:val="FootnoteReference"/>
              </w:rPr>
              <w:footnoteReference w:id="210"/>
            </w:r>
          </w:p>
          <w:p w14:paraId="33B74DD6" w14:textId="239BC9D9" w:rsidR="00396619" w:rsidRPr="001742AA" w:rsidRDefault="007A2895" w:rsidP="00CE39DB">
            <w:pPr>
              <w:pStyle w:val="ListParagraph"/>
              <w:numPr>
                <w:ilvl w:val="0"/>
                <w:numId w:val="21"/>
              </w:numPr>
            </w:pPr>
            <w:r>
              <w:t>No precise objectives</w:t>
            </w:r>
            <w:r>
              <w:rPr>
                <w:rStyle w:val="FootnoteReference"/>
              </w:rPr>
              <w:footnoteReference w:id="211"/>
            </w:r>
          </w:p>
        </w:tc>
      </w:tr>
      <w:tr w:rsidR="00CB5BD0" w:rsidRPr="00662CBC" w14:paraId="0EB3A8A1" w14:textId="77777777" w:rsidTr="00F37D6B">
        <w:tc>
          <w:tcPr>
            <w:tcW w:w="139" w:type="pct"/>
            <w:shd w:val="clear" w:color="auto" w:fill="auto"/>
          </w:tcPr>
          <w:p w14:paraId="05F00741"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6453023B" w14:textId="77777777" w:rsidR="004116DF" w:rsidRPr="00662CBC" w:rsidRDefault="004116DF" w:rsidP="006064D6">
            <w:pPr>
              <w:pStyle w:val="Heading3"/>
            </w:pPr>
            <w:bookmarkStart w:id="33" w:name="_Toc132806716"/>
            <w:r w:rsidRPr="00662CBC">
              <w:t>Malta</w:t>
            </w:r>
            <w:bookmarkEnd w:id="33"/>
            <w:r w:rsidRPr="00662CBC">
              <w:t xml:space="preserve"> </w:t>
            </w:r>
          </w:p>
        </w:tc>
        <w:tc>
          <w:tcPr>
            <w:tcW w:w="855" w:type="pct"/>
            <w:shd w:val="clear" w:color="auto" w:fill="auto"/>
          </w:tcPr>
          <w:p w14:paraId="175651DF" w14:textId="5C1DA18D" w:rsidR="004116DF" w:rsidRPr="00662CBC" w:rsidRDefault="004116DF" w:rsidP="00714158">
            <w:r w:rsidRPr="00662CBC">
              <w:t>s. NDC submitted by EU</w:t>
            </w:r>
          </w:p>
        </w:tc>
        <w:tc>
          <w:tcPr>
            <w:tcW w:w="1023" w:type="pct"/>
            <w:shd w:val="clear" w:color="auto" w:fill="auto"/>
          </w:tcPr>
          <w:p w14:paraId="39D060F8" w14:textId="2FDD4434" w:rsidR="004116DF" w:rsidRPr="00662CBC" w:rsidRDefault="00C6703D" w:rsidP="00714158">
            <w:r>
              <w:t>—</w:t>
            </w:r>
          </w:p>
        </w:tc>
        <w:tc>
          <w:tcPr>
            <w:tcW w:w="903" w:type="pct"/>
            <w:shd w:val="clear" w:color="auto" w:fill="auto"/>
          </w:tcPr>
          <w:p w14:paraId="0A24D0AE" w14:textId="797478B5" w:rsidR="004116DF" w:rsidRPr="00662CBC" w:rsidRDefault="00C6703D" w:rsidP="00714158">
            <w:r>
              <w:t>—</w:t>
            </w:r>
          </w:p>
        </w:tc>
        <w:tc>
          <w:tcPr>
            <w:tcW w:w="949" w:type="pct"/>
            <w:shd w:val="clear" w:color="auto" w:fill="auto"/>
          </w:tcPr>
          <w:p w14:paraId="158B0439" w14:textId="54AC60CF" w:rsidR="00EF4A5C" w:rsidRPr="00AF2F7A" w:rsidRDefault="00AF2F7A" w:rsidP="00714158">
            <w:pPr>
              <w:rPr>
                <w:b/>
                <w:bCs/>
              </w:rPr>
            </w:pPr>
            <w:r>
              <w:rPr>
                <w:b/>
                <w:bCs/>
              </w:rPr>
              <w:t>No mandatory military service.</w:t>
            </w:r>
          </w:p>
          <w:p w14:paraId="612A3730" w14:textId="6CD78FAB" w:rsidR="004116DF" w:rsidRPr="00662CBC" w:rsidRDefault="00EF4A5C" w:rsidP="00714158">
            <w:r>
              <w:t>“</w:t>
            </w:r>
            <w:r w:rsidRPr="00EF4A5C">
              <w:t>18-30 years of age for men and women for voluntary military service; no conscription (2022)</w:t>
            </w:r>
            <w:r>
              <w:t>.”</w:t>
            </w:r>
            <w:r w:rsidR="004116DF" w:rsidRPr="005D2F5A">
              <w:rPr>
                <w:rStyle w:val="FootnoteReference"/>
              </w:rPr>
              <w:footnoteReference w:id="212"/>
            </w:r>
          </w:p>
        </w:tc>
        <w:tc>
          <w:tcPr>
            <w:tcW w:w="677" w:type="pct"/>
            <w:shd w:val="clear" w:color="auto" w:fill="auto"/>
          </w:tcPr>
          <w:p w14:paraId="0B042849" w14:textId="77777777" w:rsidR="004116DF" w:rsidRDefault="00000000" w:rsidP="00714158">
            <w:pPr>
              <w:rPr>
                <w:b/>
                <w:bCs/>
              </w:rPr>
            </w:pPr>
            <w:hyperlink r:id="rId83" w:history="1">
              <w:r w:rsidR="006A6897" w:rsidRPr="00615E03">
                <w:rPr>
                  <w:rStyle w:val="Hyperlink"/>
                  <w:b/>
                  <w:bCs/>
                </w:rPr>
                <w:t>NAP</w:t>
              </w:r>
              <w:r w:rsidR="00615E03" w:rsidRPr="00615E03">
                <w:rPr>
                  <w:rStyle w:val="Hyperlink"/>
                  <w:b/>
                  <w:bCs/>
                </w:rPr>
                <w:t xml:space="preserve"> 2020-2024 </w:t>
              </w:r>
              <w:r w:rsidR="00615E03" w:rsidRPr="00615E03">
                <w:rPr>
                  <w:rStyle w:val="Hyperlink"/>
                </w:rPr>
                <w:t>(2020)</w:t>
              </w:r>
            </w:hyperlink>
          </w:p>
          <w:p w14:paraId="41665ABC" w14:textId="4956B8B6" w:rsidR="00AF741B" w:rsidRPr="00615E03" w:rsidRDefault="00AF741B" w:rsidP="00714158">
            <w:r>
              <w:t xml:space="preserve">No precise objectives </w:t>
            </w:r>
          </w:p>
        </w:tc>
      </w:tr>
      <w:tr w:rsidR="00CB5BD0" w:rsidRPr="00662CBC" w14:paraId="65200186" w14:textId="77777777" w:rsidTr="00F37D6B">
        <w:tc>
          <w:tcPr>
            <w:tcW w:w="139" w:type="pct"/>
            <w:shd w:val="clear" w:color="auto" w:fill="auto"/>
          </w:tcPr>
          <w:p w14:paraId="1D58E329"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760F57FC" w14:textId="77777777" w:rsidR="004116DF" w:rsidRPr="00662CBC" w:rsidRDefault="004116DF" w:rsidP="006064D6">
            <w:pPr>
              <w:pStyle w:val="Heading3"/>
            </w:pPr>
            <w:bookmarkStart w:id="34" w:name="_Toc132806717"/>
            <w:r w:rsidRPr="00662CBC">
              <w:t>Republic of Moldova</w:t>
            </w:r>
            <w:bookmarkEnd w:id="34"/>
            <w:r w:rsidRPr="00662CBC">
              <w:t xml:space="preserve"> </w:t>
            </w:r>
          </w:p>
          <w:p w14:paraId="45AF5250" w14:textId="77777777" w:rsidR="004116DF" w:rsidRPr="00662CBC" w:rsidRDefault="004116DF" w:rsidP="006064D6">
            <w:pPr>
              <w:rPr>
                <w:b/>
                <w:bCs/>
                <w:szCs w:val="20"/>
              </w:rPr>
            </w:pPr>
          </w:p>
        </w:tc>
        <w:tc>
          <w:tcPr>
            <w:tcW w:w="855" w:type="pct"/>
            <w:shd w:val="clear" w:color="auto" w:fill="auto"/>
          </w:tcPr>
          <w:p w14:paraId="62465096" w14:textId="4437ECF9" w:rsidR="008E263A" w:rsidRPr="008E263A" w:rsidRDefault="004056D6" w:rsidP="008E263A">
            <w:r w:rsidRPr="00662CBC">
              <w:rPr>
                <w:b/>
                <w:bCs/>
              </w:rPr>
              <w:t>NDC 2021-203</w:t>
            </w:r>
            <w:r w:rsidR="008E263A">
              <w:rPr>
                <w:b/>
                <w:bCs/>
              </w:rPr>
              <w:t>0</w:t>
            </w:r>
            <w:r w:rsidR="008E263A">
              <w:t xml:space="preserve">: </w:t>
            </w:r>
            <w:r w:rsidR="00371FBD" w:rsidRPr="00371FBD">
              <w:t>the NDC is gender-sensitive, identifies women as stakeholders, vulnerable groups, and as beneficiaries</w:t>
            </w:r>
            <w:r w:rsidR="00371FBD">
              <w:rPr>
                <w:rStyle w:val="FootnoteReference"/>
              </w:rPr>
              <w:footnoteReference w:id="213"/>
            </w:r>
          </w:p>
        </w:tc>
        <w:tc>
          <w:tcPr>
            <w:tcW w:w="1023" w:type="pct"/>
            <w:shd w:val="clear" w:color="auto" w:fill="auto"/>
          </w:tcPr>
          <w:p w14:paraId="1075AD17" w14:textId="3C51AC9A" w:rsidR="004116DF" w:rsidRDefault="00DF509D" w:rsidP="00714158">
            <w:pPr>
              <w:rPr>
                <w:b/>
                <w:bCs/>
              </w:rPr>
            </w:pPr>
            <w:r>
              <w:rPr>
                <w:b/>
                <w:bCs/>
              </w:rPr>
              <w:t>No legislated quota</w:t>
            </w:r>
          </w:p>
          <w:p w14:paraId="46884375" w14:textId="77777777" w:rsidR="00DF509D" w:rsidRPr="00DF509D" w:rsidRDefault="00DF509D" w:rsidP="00714158">
            <w:pPr>
              <w:rPr>
                <w:b/>
                <w:bCs/>
              </w:rPr>
            </w:pPr>
          </w:p>
          <w:p w14:paraId="4287165C" w14:textId="77777777" w:rsidR="002E1F6E" w:rsidRPr="00E95B24" w:rsidRDefault="002E1F6E" w:rsidP="002E1F6E">
            <w:r>
              <w:rPr>
                <w:b/>
                <w:bCs/>
              </w:rPr>
              <w:t xml:space="preserve">CEDAW Concluding Observations </w:t>
            </w:r>
            <w:r>
              <w:t xml:space="preserve">(2020): </w:t>
            </w:r>
          </w:p>
          <w:p w14:paraId="5371969F" w14:textId="77777777" w:rsidR="002E1F6E" w:rsidRPr="00E95B24" w:rsidRDefault="002E1F6E" w:rsidP="002E1F6E">
            <w:r>
              <w:t>“</w:t>
            </w:r>
            <w:r w:rsidRPr="00E95B24">
              <w:t xml:space="preserve">27. </w:t>
            </w:r>
            <w:r w:rsidRPr="00E95B24">
              <w:rPr>
                <w:b/>
                <w:bCs/>
              </w:rPr>
              <w:t xml:space="preserve">Recalling its general recommendation No. 23 (1997) on women in political and public life, as well as target 5.5 of the Sustainable Development Goals, the Committee </w:t>
            </w:r>
            <w:r w:rsidRPr="00E95B24">
              <w:rPr>
                <w:b/>
                <w:bCs/>
              </w:rPr>
              <w:lastRenderedPageBreak/>
              <w:t>recommends that the State party</w:t>
            </w:r>
            <w:r w:rsidRPr="00E95B24">
              <w:t xml:space="preserve">: </w:t>
            </w:r>
            <w:r>
              <w:br/>
              <w:t>[…] </w:t>
            </w:r>
            <w:r w:rsidRPr="00E95B24">
              <w:t xml:space="preserve">(b) </w:t>
            </w:r>
            <w:r w:rsidRPr="00E95B24">
              <w:rPr>
                <w:b/>
                <w:bCs/>
              </w:rPr>
              <w:t xml:space="preserve">Adopt temporary special measures in accordance with article 4 (1) of the Convention and the Committee’s general recommendation No. 25 (2004) on temporary special measures, including statutory quotas for the representation of women in decision-making positions in the civil service, the foreign service and in the security and </w:t>
            </w:r>
            <w:proofErr w:type="spellStart"/>
            <w:r w:rsidRPr="00E95B24">
              <w:rPr>
                <w:b/>
                <w:bCs/>
              </w:rPr>
              <w:t>defence</w:t>
            </w:r>
            <w:proofErr w:type="spellEnd"/>
            <w:r w:rsidRPr="00E95B24">
              <w:rPr>
                <w:b/>
                <w:bCs/>
              </w:rPr>
              <w:t xml:space="preserve"> forces</w:t>
            </w:r>
            <w:r w:rsidRPr="00E95B24">
              <w:t>;”</w:t>
            </w:r>
            <w:r w:rsidRPr="00E95B24">
              <w:rPr>
                <w:rStyle w:val="FootnoteReference"/>
              </w:rPr>
              <w:t xml:space="preserve"> </w:t>
            </w:r>
            <w:r w:rsidRPr="00AA03E7">
              <w:rPr>
                <w:rStyle w:val="FootnoteReference"/>
              </w:rPr>
              <w:footnoteReference w:id="214"/>
            </w:r>
          </w:p>
          <w:p w14:paraId="15B7AD7B" w14:textId="77777777" w:rsidR="002E1F6E" w:rsidRDefault="002E1F6E" w:rsidP="00714158"/>
          <w:p w14:paraId="32708523" w14:textId="01955824" w:rsidR="00E54DF1" w:rsidRDefault="00000000" w:rsidP="00714158">
            <w:hyperlink r:id="rId84" w:history="1">
              <w:r w:rsidR="00E54DF1" w:rsidRPr="00E54DF1">
                <w:rPr>
                  <w:rStyle w:val="Hyperlink"/>
                </w:rPr>
                <w:t xml:space="preserve">Law No. 158 of 4.07.2008 on State Functions and the Status of Public Servants, </w:t>
              </w:r>
              <w:r w:rsidR="00156C70">
                <w:rPr>
                  <w:rStyle w:val="Hyperlink"/>
                </w:rPr>
                <w:t>a</w:t>
              </w:r>
              <w:r w:rsidR="00E54DF1" w:rsidRPr="00E54DF1">
                <w:rPr>
                  <w:rStyle w:val="Hyperlink"/>
                </w:rPr>
                <w:t>rt.14(g)</w:t>
              </w:r>
            </w:hyperlink>
            <w:r w:rsidR="00E54DF1">
              <w:t>:</w:t>
            </w:r>
          </w:p>
          <w:p w14:paraId="77B03372" w14:textId="143BE260" w:rsidR="006262DE" w:rsidRDefault="006262DE" w:rsidP="00714158">
            <w:r w:rsidRPr="006262DE">
              <w:t>Article 14. General rights of civil servants — g) to benefit from equal opportunities and treatment between men and women in terms of access to employment in public office, to the process of continuous professional development and promotion.</w:t>
            </w:r>
            <w:r w:rsidR="00AC5DBC">
              <w:t>”</w:t>
            </w:r>
            <w:r w:rsidR="00AC5DBC">
              <w:rPr>
                <w:rStyle w:val="FootnoteReference"/>
              </w:rPr>
              <w:footnoteReference w:id="215"/>
            </w:r>
          </w:p>
          <w:p w14:paraId="7513E7A4" w14:textId="55C22615" w:rsidR="00AC5DBC" w:rsidRPr="00662CBC" w:rsidRDefault="00AC5DBC" w:rsidP="00714158">
            <w:r>
              <w:t>But there do not seem to be specific provisions containing affirmative action in the Law.</w:t>
            </w:r>
          </w:p>
        </w:tc>
        <w:tc>
          <w:tcPr>
            <w:tcW w:w="903" w:type="pct"/>
            <w:shd w:val="clear" w:color="auto" w:fill="auto"/>
          </w:tcPr>
          <w:p w14:paraId="76AF90DF" w14:textId="1AB6549E" w:rsidR="004116DF" w:rsidRDefault="00AC5DBC" w:rsidP="00714158">
            <w:r>
              <w:lastRenderedPageBreak/>
              <w:t>—</w:t>
            </w:r>
          </w:p>
          <w:p w14:paraId="1FFC2999" w14:textId="25E01700" w:rsidR="00AC5DBC" w:rsidRPr="00AC5DBC" w:rsidRDefault="00AC5DBC" w:rsidP="00714158">
            <w:pPr>
              <w:rPr>
                <w:b/>
                <w:bCs/>
              </w:rPr>
            </w:pPr>
            <w:r>
              <w:rPr>
                <w:b/>
                <w:bCs/>
              </w:rPr>
              <w:t>Highest share of women in the military</w:t>
            </w:r>
          </w:p>
          <w:p w14:paraId="4CD95271" w14:textId="77777777" w:rsidR="004116DF" w:rsidRDefault="004116DF" w:rsidP="00714158">
            <w:r w:rsidRPr="00662CBC">
              <w:t xml:space="preserve">“[From a study commissioned by NATO on 36 countries the </w:t>
            </w:r>
            <w:r w:rsidR="00B0158C" w:rsidRPr="00662CBC">
              <w:t>following</w:t>
            </w:r>
            <w:r w:rsidRPr="00662CBC">
              <w:t xml:space="preserve"> was analyzed:] The highest share of women in the military in 2020 is reached by Bangladesh with 20% and the </w:t>
            </w:r>
            <w:r w:rsidRPr="00662CBC">
              <w:lastRenderedPageBreak/>
              <w:t>Republic of Moldova with 21,2%, which on the other hand has an estimated 1584 years until parity due to a very low average increase. This points to the fact that data is inconsistent, and the only overall trend we can identify is the overall low representation.”</w:t>
            </w:r>
            <w:r w:rsidRPr="00662CBC">
              <w:rPr>
                <w:rStyle w:val="FootnoteReference"/>
              </w:rPr>
              <w:t xml:space="preserve"> </w:t>
            </w:r>
            <w:r w:rsidRPr="005D2F5A">
              <w:rPr>
                <w:rStyle w:val="FootnoteReference"/>
              </w:rPr>
              <w:footnoteReference w:id="216"/>
            </w:r>
          </w:p>
          <w:p w14:paraId="59D2E45B" w14:textId="77777777" w:rsidR="002E1F6E" w:rsidRDefault="002E1F6E" w:rsidP="00714158"/>
          <w:p w14:paraId="0A8F6907" w14:textId="77777777" w:rsidR="002E1F6E" w:rsidRPr="00E95B24" w:rsidRDefault="002E1F6E" w:rsidP="002E1F6E">
            <w:r>
              <w:rPr>
                <w:b/>
                <w:bCs/>
              </w:rPr>
              <w:t xml:space="preserve">CEDAW Concluding Observations </w:t>
            </w:r>
            <w:r>
              <w:t xml:space="preserve">(2020): </w:t>
            </w:r>
          </w:p>
          <w:p w14:paraId="3ABCEF96" w14:textId="77777777" w:rsidR="002E1F6E" w:rsidRPr="00E95B24" w:rsidRDefault="002E1F6E" w:rsidP="002E1F6E">
            <w:r>
              <w:t>“</w:t>
            </w:r>
            <w:r w:rsidRPr="00E95B24">
              <w:t xml:space="preserve">27. </w:t>
            </w:r>
            <w:r w:rsidRPr="00E95B24">
              <w:rPr>
                <w:b/>
                <w:bCs/>
              </w:rPr>
              <w:t>Recalling its general recommendation No. 23 (1997) on women in political and public life, as well as target 5.5 of the Sustainable Development Goals, the Committee recommends that the State party</w:t>
            </w:r>
            <w:r w:rsidRPr="00E95B24">
              <w:t xml:space="preserve">: </w:t>
            </w:r>
            <w:r>
              <w:br/>
              <w:t>[…] </w:t>
            </w:r>
            <w:r w:rsidRPr="00E95B24">
              <w:t xml:space="preserve">(b) </w:t>
            </w:r>
            <w:r w:rsidRPr="00E95B24">
              <w:rPr>
                <w:b/>
                <w:bCs/>
              </w:rPr>
              <w:t xml:space="preserve">Adopt temporary special measures in accordance with article 4 (1) of the Convention and the Committee’s general recommendation No. 25 (2004) on temporary special measures, including statutory quotas for the representation </w:t>
            </w:r>
            <w:r w:rsidRPr="00E95B24">
              <w:rPr>
                <w:b/>
                <w:bCs/>
              </w:rPr>
              <w:lastRenderedPageBreak/>
              <w:t xml:space="preserve">of women in decision-making positions in the civil service, the foreign service and in the security and </w:t>
            </w:r>
            <w:proofErr w:type="spellStart"/>
            <w:r w:rsidRPr="00E95B24">
              <w:rPr>
                <w:b/>
                <w:bCs/>
              </w:rPr>
              <w:t>defence</w:t>
            </w:r>
            <w:proofErr w:type="spellEnd"/>
            <w:r w:rsidRPr="00E95B24">
              <w:rPr>
                <w:b/>
                <w:bCs/>
              </w:rPr>
              <w:t xml:space="preserve"> forces</w:t>
            </w:r>
            <w:r w:rsidRPr="00E95B24">
              <w:t>;”</w:t>
            </w:r>
            <w:r w:rsidRPr="00E95B24">
              <w:rPr>
                <w:rStyle w:val="FootnoteReference"/>
              </w:rPr>
              <w:t xml:space="preserve"> </w:t>
            </w:r>
            <w:r w:rsidRPr="00AA03E7">
              <w:rPr>
                <w:rStyle w:val="FootnoteReference"/>
              </w:rPr>
              <w:footnoteReference w:id="217"/>
            </w:r>
          </w:p>
          <w:p w14:paraId="17AA7D96" w14:textId="3E9EDA84" w:rsidR="002E1F6E" w:rsidRPr="00662CBC" w:rsidRDefault="002E1F6E" w:rsidP="00714158"/>
        </w:tc>
        <w:tc>
          <w:tcPr>
            <w:tcW w:w="949" w:type="pct"/>
            <w:shd w:val="clear" w:color="auto" w:fill="auto"/>
          </w:tcPr>
          <w:p w14:paraId="7D82F69B" w14:textId="19E50C68" w:rsidR="00EF4A5C" w:rsidRPr="000E1CD5" w:rsidRDefault="008A6382" w:rsidP="00714158">
            <w:pPr>
              <w:rPr>
                <w:b/>
                <w:bCs/>
              </w:rPr>
            </w:pPr>
            <w:r>
              <w:rPr>
                <w:b/>
                <w:bCs/>
              </w:rPr>
              <w:lastRenderedPageBreak/>
              <w:t>Mandatory military service for men</w:t>
            </w:r>
          </w:p>
          <w:p w14:paraId="3EB16839" w14:textId="10D2496C" w:rsidR="004116DF" w:rsidRPr="00662CBC" w:rsidRDefault="0023268A" w:rsidP="0023268A">
            <w:r>
              <w:t>“</w:t>
            </w:r>
            <w:r w:rsidRPr="0023268A">
              <w:t>18-27 years of age for compulsory or voluntary military service; male registration required at age 16; 12-month service obligation (2023)</w:t>
            </w:r>
            <w:r w:rsidRPr="0023268A">
              <w:br/>
            </w:r>
            <w:r w:rsidRPr="0023268A">
              <w:rPr>
                <w:b/>
                <w:bCs/>
              </w:rPr>
              <w:t>note:</w:t>
            </w:r>
            <w:r w:rsidRPr="0023268A">
              <w:t xml:space="preserve"> as of 2019, women made up </w:t>
            </w:r>
            <w:r w:rsidRPr="0023268A">
              <w:lastRenderedPageBreak/>
              <w:t xml:space="preserve">about 20% of the military's full-time </w:t>
            </w:r>
            <w:proofErr w:type="gramStart"/>
            <w:r w:rsidRPr="0023268A">
              <w:t>personnel</w:t>
            </w:r>
            <w:r>
              <w:t>.</w:t>
            </w:r>
            <w:r>
              <w:rPr>
                <w:vertAlign w:val="superscript"/>
              </w:rPr>
              <w:t>“</w:t>
            </w:r>
            <w:proofErr w:type="gramEnd"/>
            <w:r w:rsidR="003E63CE">
              <w:rPr>
                <w:vertAlign w:val="superscript"/>
              </w:rPr>
              <w:t xml:space="preserve"> </w:t>
            </w:r>
            <w:r w:rsidR="004116DF" w:rsidRPr="005D2F5A">
              <w:rPr>
                <w:rStyle w:val="FootnoteReference"/>
              </w:rPr>
              <w:footnoteReference w:id="218"/>
            </w:r>
          </w:p>
        </w:tc>
        <w:tc>
          <w:tcPr>
            <w:tcW w:w="677" w:type="pct"/>
            <w:shd w:val="clear" w:color="auto" w:fill="auto"/>
          </w:tcPr>
          <w:p w14:paraId="7942A674" w14:textId="6A4FD5A3" w:rsidR="00862070" w:rsidRDefault="00000000" w:rsidP="00862070">
            <w:hyperlink r:id="rId85" w:history="1">
              <w:r w:rsidR="006A6897" w:rsidRPr="00AC5DBC">
                <w:rPr>
                  <w:rStyle w:val="Hyperlink"/>
                  <w:b/>
                  <w:bCs/>
                </w:rPr>
                <w:t>NAP</w:t>
              </w:r>
              <w:r w:rsidR="0037136B" w:rsidRPr="00AC5DBC">
                <w:rPr>
                  <w:rStyle w:val="Hyperlink"/>
                  <w:b/>
                  <w:bCs/>
                </w:rPr>
                <w:t xml:space="preserve"> 2018-2021</w:t>
              </w:r>
              <w:r w:rsidR="0037136B" w:rsidRPr="00AC5DBC">
                <w:rPr>
                  <w:rStyle w:val="Hyperlink"/>
                </w:rPr>
                <w:t xml:space="preserve"> (2018)</w:t>
              </w:r>
            </w:hyperlink>
          </w:p>
          <w:p w14:paraId="02A0927A" w14:textId="460919C7" w:rsidR="00862070" w:rsidRPr="0037136B" w:rsidRDefault="00862070" w:rsidP="00862070">
            <w:r>
              <w:t>Clear targets</w:t>
            </w:r>
            <w:r>
              <w:rPr>
                <w:rStyle w:val="FootnoteReference"/>
              </w:rPr>
              <w:footnoteReference w:id="219"/>
            </w:r>
          </w:p>
        </w:tc>
      </w:tr>
      <w:tr w:rsidR="00CB5BD0" w:rsidRPr="00662CBC" w14:paraId="747E1EDD" w14:textId="77777777" w:rsidTr="00F37D6B">
        <w:tc>
          <w:tcPr>
            <w:tcW w:w="139" w:type="pct"/>
            <w:shd w:val="clear" w:color="auto" w:fill="auto"/>
          </w:tcPr>
          <w:p w14:paraId="17E75C28"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21C73948" w14:textId="77777777" w:rsidR="004116DF" w:rsidRPr="00662CBC" w:rsidRDefault="004116DF" w:rsidP="006064D6">
            <w:pPr>
              <w:pStyle w:val="Heading3"/>
            </w:pPr>
            <w:bookmarkStart w:id="35" w:name="_Toc132806718"/>
            <w:r w:rsidRPr="00662CBC">
              <w:t>Monaco</w:t>
            </w:r>
            <w:bookmarkEnd w:id="35"/>
            <w:r w:rsidRPr="00662CBC">
              <w:t xml:space="preserve"> </w:t>
            </w:r>
          </w:p>
          <w:p w14:paraId="72ED5552" w14:textId="77777777" w:rsidR="004116DF" w:rsidRPr="00662CBC" w:rsidRDefault="004116DF" w:rsidP="006064D6">
            <w:pPr>
              <w:rPr>
                <w:b/>
                <w:bCs/>
                <w:szCs w:val="20"/>
              </w:rPr>
            </w:pPr>
          </w:p>
        </w:tc>
        <w:tc>
          <w:tcPr>
            <w:tcW w:w="855" w:type="pct"/>
            <w:shd w:val="clear" w:color="auto" w:fill="auto"/>
          </w:tcPr>
          <w:p w14:paraId="1C3682B4" w14:textId="6637A98D" w:rsidR="004116DF" w:rsidRPr="002750E9" w:rsidRDefault="002750E9" w:rsidP="00714158">
            <w:pPr>
              <w:rPr>
                <w:b/>
                <w:bCs/>
              </w:rPr>
            </w:pPr>
            <w:r w:rsidRPr="002750E9">
              <w:rPr>
                <w:b/>
                <w:bCs/>
              </w:rPr>
              <w:t>No</w:t>
            </w:r>
            <w:r>
              <w:rPr>
                <w:b/>
                <w:bCs/>
              </w:rPr>
              <w:t xml:space="preserve"> NDC</w:t>
            </w:r>
          </w:p>
        </w:tc>
        <w:tc>
          <w:tcPr>
            <w:tcW w:w="1023" w:type="pct"/>
            <w:shd w:val="clear" w:color="auto" w:fill="auto"/>
          </w:tcPr>
          <w:p w14:paraId="2CFD7885" w14:textId="77777777" w:rsidR="0045145F" w:rsidRDefault="0045145F" w:rsidP="00714158">
            <w:pPr>
              <w:rPr>
                <w:b/>
                <w:bCs/>
              </w:rPr>
            </w:pPr>
            <w:r w:rsidRPr="0045145F">
              <w:rPr>
                <w:b/>
                <w:bCs/>
              </w:rPr>
              <w:t>No legislated quota</w:t>
            </w:r>
            <w:r>
              <w:rPr>
                <w:b/>
                <w:bCs/>
              </w:rPr>
              <w:t xml:space="preserve"> </w:t>
            </w:r>
          </w:p>
          <w:p w14:paraId="12AA6B86" w14:textId="5D55507B" w:rsidR="004116DF" w:rsidRPr="00662CBC" w:rsidRDefault="00000000" w:rsidP="00714158">
            <w:hyperlink r:id="rId86" w:anchor="FCy5VD0dd1dR4TU3HD0N7c" w:history="1">
              <w:r w:rsidR="002A2E02" w:rsidRPr="00CE6C9C">
                <w:rPr>
                  <w:rStyle w:val="Hyperlink"/>
                </w:rPr>
                <w:t>Law on the status of civil servants (Law No. 975 of July 12, 1975), art.14</w:t>
              </w:r>
            </w:hyperlink>
            <w:r w:rsidR="002A2E02">
              <w:t>: “</w:t>
            </w:r>
            <w:r w:rsidR="00DC5934">
              <w:t>[…] N</w:t>
            </w:r>
            <w:r w:rsidR="00DC5934" w:rsidRPr="00DC5934">
              <w:t>o distinction is made between the two sexes, subject to exceptional measures required by the nature of the functions.</w:t>
            </w:r>
            <w:r w:rsidR="00DC5934">
              <w:t>”</w:t>
            </w:r>
          </w:p>
        </w:tc>
        <w:tc>
          <w:tcPr>
            <w:tcW w:w="903" w:type="pct"/>
            <w:shd w:val="clear" w:color="auto" w:fill="auto"/>
          </w:tcPr>
          <w:p w14:paraId="2EEBB684" w14:textId="50F22268" w:rsidR="004116DF" w:rsidRPr="006B5291" w:rsidRDefault="006B5291" w:rsidP="006B5291">
            <w:pPr>
              <w:rPr>
                <w:b/>
                <w:bCs/>
              </w:rPr>
            </w:pPr>
            <w:r>
              <w:rPr>
                <w:b/>
                <w:bCs/>
              </w:rPr>
              <w:t xml:space="preserve">No army </w:t>
            </w:r>
          </w:p>
        </w:tc>
        <w:tc>
          <w:tcPr>
            <w:tcW w:w="949" w:type="pct"/>
            <w:shd w:val="clear" w:color="auto" w:fill="auto"/>
          </w:tcPr>
          <w:p w14:paraId="5BBC9E80" w14:textId="6E6BAA2F" w:rsidR="00AD6AB6" w:rsidRPr="00096C58" w:rsidRDefault="00096C58" w:rsidP="00714158">
            <w:pPr>
              <w:rPr>
                <w:b/>
                <w:bCs/>
              </w:rPr>
            </w:pPr>
            <w:r>
              <w:rPr>
                <w:b/>
                <w:bCs/>
              </w:rPr>
              <w:t xml:space="preserve">No army — depends on France for </w:t>
            </w:r>
            <w:proofErr w:type="gramStart"/>
            <w:r>
              <w:rPr>
                <w:b/>
                <w:bCs/>
              </w:rPr>
              <w:t>defense</w:t>
            </w:r>
            <w:proofErr w:type="gramEnd"/>
          </w:p>
          <w:p w14:paraId="49DD2574" w14:textId="307E1B39" w:rsidR="004116DF" w:rsidRPr="00662CBC" w:rsidRDefault="00AD6AB6" w:rsidP="00714158">
            <w:r>
              <w:t>“T</w:t>
            </w:r>
            <w:r w:rsidRPr="00AD6AB6">
              <w:t>he Compagnie des Carabiniers du Prince is staffed by French nationals (2022)</w:t>
            </w:r>
            <w:r>
              <w:t>.”</w:t>
            </w:r>
            <w:r w:rsidR="004116DF" w:rsidRPr="005D2F5A">
              <w:rPr>
                <w:rStyle w:val="FootnoteReference"/>
              </w:rPr>
              <w:footnoteReference w:id="220"/>
            </w:r>
          </w:p>
        </w:tc>
        <w:tc>
          <w:tcPr>
            <w:tcW w:w="677" w:type="pct"/>
            <w:shd w:val="clear" w:color="auto" w:fill="auto"/>
          </w:tcPr>
          <w:p w14:paraId="0259A255" w14:textId="315FEFD1" w:rsidR="004116DF" w:rsidRDefault="00182234" w:rsidP="00714158">
            <w:pPr>
              <w:rPr>
                <w:b/>
                <w:bCs/>
              </w:rPr>
            </w:pPr>
            <w:r>
              <w:rPr>
                <w:b/>
                <w:bCs/>
              </w:rPr>
              <w:t xml:space="preserve">No </w:t>
            </w:r>
            <w:r w:rsidR="006A6897">
              <w:rPr>
                <w:b/>
                <w:bCs/>
              </w:rPr>
              <w:t>NAP</w:t>
            </w:r>
          </w:p>
          <w:p w14:paraId="23C5C0B1" w14:textId="1F119E4B" w:rsidR="006A6897" w:rsidRPr="00662CBC" w:rsidRDefault="006A6897" w:rsidP="00714158"/>
        </w:tc>
      </w:tr>
      <w:tr w:rsidR="00CB5BD0" w:rsidRPr="00662CBC" w14:paraId="5E75AC70" w14:textId="77777777" w:rsidTr="00F37D6B">
        <w:tc>
          <w:tcPr>
            <w:tcW w:w="139" w:type="pct"/>
            <w:shd w:val="clear" w:color="auto" w:fill="auto"/>
          </w:tcPr>
          <w:p w14:paraId="2572F8F3"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46C55513" w14:textId="77777777" w:rsidR="004116DF" w:rsidRPr="00662CBC" w:rsidRDefault="004116DF" w:rsidP="006064D6">
            <w:pPr>
              <w:pStyle w:val="Heading3"/>
            </w:pPr>
            <w:bookmarkStart w:id="36" w:name="_Toc132806719"/>
            <w:r w:rsidRPr="00662CBC">
              <w:t>Montenegro</w:t>
            </w:r>
            <w:bookmarkEnd w:id="36"/>
            <w:r w:rsidRPr="00662CBC">
              <w:t xml:space="preserve"> </w:t>
            </w:r>
          </w:p>
          <w:p w14:paraId="1B5D88BB" w14:textId="77777777" w:rsidR="004116DF" w:rsidRPr="00662CBC" w:rsidRDefault="004116DF" w:rsidP="006064D6">
            <w:pPr>
              <w:rPr>
                <w:b/>
                <w:bCs/>
                <w:szCs w:val="20"/>
              </w:rPr>
            </w:pPr>
          </w:p>
        </w:tc>
        <w:tc>
          <w:tcPr>
            <w:tcW w:w="855" w:type="pct"/>
            <w:shd w:val="clear" w:color="auto" w:fill="auto"/>
          </w:tcPr>
          <w:p w14:paraId="0E7F9744" w14:textId="294E9F15" w:rsidR="004116DF" w:rsidRPr="00662CBC" w:rsidRDefault="00AD132D" w:rsidP="00714158">
            <w:r w:rsidRPr="00662CBC">
              <w:rPr>
                <w:b/>
                <w:bCs/>
              </w:rPr>
              <w:t>NDC 2021-2030</w:t>
            </w:r>
            <w:r w:rsidRPr="00662CBC">
              <w:t>,</w:t>
            </w:r>
            <w:r w:rsidR="00D010C2">
              <w:t xml:space="preserve"> gender sensitive</w:t>
            </w:r>
            <w:r w:rsidR="00986C32" w:rsidRPr="005D2F5A">
              <w:rPr>
                <w:rStyle w:val="FootnoteReference"/>
              </w:rPr>
              <w:footnoteReference w:id="221"/>
            </w:r>
          </w:p>
        </w:tc>
        <w:tc>
          <w:tcPr>
            <w:tcW w:w="1023" w:type="pct"/>
            <w:shd w:val="clear" w:color="auto" w:fill="auto"/>
          </w:tcPr>
          <w:p w14:paraId="2C1547CB" w14:textId="3D74B07D" w:rsidR="004116DF" w:rsidRDefault="00BC20A6" w:rsidP="00714158">
            <w:r>
              <w:t>—</w:t>
            </w:r>
          </w:p>
          <w:p w14:paraId="00AE863C" w14:textId="77777777" w:rsidR="00B62DCC" w:rsidRDefault="00B62DCC" w:rsidP="00714158">
            <w:pPr>
              <w:rPr>
                <w:b/>
                <w:bCs/>
              </w:rPr>
            </w:pPr>
            <w:r>
              <w:rPr>
                <w:b/>
                <w:bCs/>
              </w:rPr>
              <w:t>Current numbers</w:t>
            </w:r>
          </w:p>
          <w:p w14:paraId="06B40521" w14:textId="1B32BDC5" w:rsidR="00B62DCC" w:rsidRPr="00B62DCC" w:rsidRDefault="00B62DCC" w:rsidP="00B62DCC">
            <w:r>
              <w:t>“</w:t>
            </w:r>
            <w:r w:rsidRPr="00366746">
              <w:t xml:space="preserve">In the diplomatic and consular missions of Montenegro, women make up 43% of all employees, and they are significantly underrepresented at the </w:t>
            </w:r>
            <w:r w:rsidRPr="00366746">
              <w:lastRenderedPageBreak/>
              <w:t>higher positions (17.6% at the ambassadorial positions).</w:t>
            </w:r>
            <w:r>
              <w:t>”</w:t>
            </w:r>
            <w:r>
              <w:rPr>
                <w:rStyle w:val="FootnoteReference"/>
              </w:rPr>
              <w:footnoteReference w:id="222"/>
            </w:r>
          </w:p>
        </w:tc>
        <w:tc>
          <w:tcPr>
            <w:tcW w:w="903" w:type="pct"/>
            <w:shd w:val="clear" w:color="auto" w:fill="auto"/>
          </w:tcPr>
          <w:p w14:paraId="52928E34" w14:textId="6A375090" w:rsidR="004116DF" w:rsidRDefault="00BC20A6" w:rsidP="00BC20A6">
            <w:r>
              <w:lastRenderedPageBreak/>
              <w:t>—</w:t>
            </w:r>
          </w:p>
          <w:p w14:paraId="103F937A" w14:textId="77777777" w:rsidR="005F1533" w:rsidRDefault="005F1533" w:rsidP="00714158">
            <w:r>
              <w:rPr>
                <w:b/>
                <w:bCs/>
              </w:rPr>
              <w:t>Current numbers</w:t>
            </w:r>
            <w:r w:rsidRPr="005F1533">
              <w:t xml:space="preserve">: </w:t>
            </w:r>
          </w:p>
          <w:p w14:paraId="72096664" w14:textId="22F8B1E7" w:rsidR="005F1533" w:rsidRDefault="005F1533" w:rsidP="005F1533">
            <w:r>
              <w:t>“</w:t>
            </w:r>
            <w:r w:rsidRPr="00366746">
              <w:t xml:space="preserve">Police Directorate data show that only 9.14% of women are working in Police, and 13 women and 41 </w:t>
            </w:r>
            <w:proofErr w:type="gramStart"/>
            <w:r w:rsidRPr="00366746">
              <w:t>male</w:t>
            </w:r>
            <w:proofErr w:type="gramEnd"/>
            <w:r w:rsidRPr="00366746">
              <w:t xml:space="preserve"> are trainees from the Police Academy.</w:t>
            </w:r>
            <w:r w:rsidR="003D7472">
              <w:t xml:space="preserve"> [Women represent </w:t>
            </w:r>
            <w:r w:rsidR="003D7472" w:rsidRPr="003D7472">
              <w:t xml:space="preserve">50% as Chief </w:t>
            </w:r>
            <w:r w:rsidR="003D7472" w:rsidRPr="003D7472">
              <w:lastRenderedPageBreak/>
              <w:t>Police Consultant; 15,5% of Senior Police Inspector I class; 17.9% as Senior Police Inspector; 87.5% as Senior Police Consultant; Senior Police Officer I class</w:t>
            </w:r>
            <w:r w:rsidR="003D7472">
              <w:t xml:space="preserve"> …]</w:t>
            </w:r>
          </w:p>
          <w:p w14:paraId="6DA9F792" w14:textId="77777777" w:rsidR="005F1533" w:rsidRDefault="005F1533" w:rsidP="005F1533">
            <w:r>
              <w:t>[…] </w:t>
            </w:r>
          </w:p>
          <w:p w14:paraId="2C8B95F3" w14:textId="77777777" w:rsidR="005F1533" w:rsidRDefault="005F1533" w:rsidP="005F1533">
            <w:r w:rsidRPr="00366746">
              <w:t xml:space="preserve">Almost the same situation exists in the Armed Forces of Montenegro, where, on 1st November 2016, there were 44.76% of women in the Ministry of </w:t>
            </w:r>
            <w:proofErr w:type="spellStart"/>
            <w:r w:rsidRPr="00366746">
              <w:t>Defence</w:t>
            </w:r>
            <w:proofErr w:type="spellEnd"/>
            <w:r w:rsidRPr="00366746">
              <w:t xml:space="preserve">, 9.05% of women in the Armed Forces of Montenegro, out of which 11 were female officers, 17 Non-commissioned officers, 40 women were contract soldiers, and 100 women were civilians. At the </w:t>
            </w:r>
            <w:proofErr w:type="spellStart"/>
            <w:r w:rsidRPr="00366746">
              <w:t>defence</w:t>
            </w:r>
            <w:proofErr w:type="spellEnd"/>
            <w:r w:rsidRPr="00366746">
              <w:t xml:space="preserve"> system level there are 12.64% of women.</w:t>
            </w:r>
            <w:r>
              <w:t>”</w:t>
            </w:r>
            <w:r>
              <w:rPr>
                <w:rStyle w:val="FootnoteReference"/>
              </w:rPr>
              <w:footnoteReference w:id="223"/>
            </w:r>
          </w:p>
          <w:p w14:paraId="267C4355" w14:textId="77777777" w:rsidR="00E6294A" w:rsidRDefault="00E6294A" w:rsidP="00E6294A">
            <w:pPr>
              <w:spacing w:after="0"/>
              <w:rPr>
                <w:b/>
                <w:bCs/>
              </w:rPr>
            </w:pPr>
            <w:r>
              <w:rPr>
                <w:b/>
                <w:bCs/>
              </w:rPr>
              <w:t>Note 1: I</w:t>
            </w:r>
            <w:r w:rsidRPr="00220FBE">
              <w:rPr>
                <w:b/>
                <w:bCs/>
              </w:rPr>
              <w:t>nstitutional</w:t>
            </w:r>
            <w:r>
              <w:rPr>
                <w:b/>
                <w:bCs/>
              </w:rPr>
              <w:t xml:space="preserve"> integration of </w:t>
            </w:r>
            <w:proofErr w:type="gramStart"/>
            <w:r>
              <w:rPr>
                <w:b/>
                <w:bCs/>
              </w:rPr>
              <w:t>gender</w:t>
            </w:r>
            <w:proofErr w:type="gramEnd"/>
          </w:p>
          <w:p w14:paraId="082FD8AB" w14:textId="77777777" w:rsidR="00E6294A" w:rsidRDefault="00E6294A" w:rsidP="00E6294A">
            <w:pPr>
              <w:spacing w:after="0"/>
            </w:pPr>
            <w:r>
              <w:t>“</w:t>
            </w:r>
            <w:r w:rsidRPr="00F068FF">
              <w:t xml:space="preserve">Internal mechanisms for the implementation of gender equality policies are established, including a MoD coordinator, Chief of </w:t>
            </w:r>
            <w:proofErr w:type="spellStart"/>
            <w:r w:rsidRPr="00F068FF">
              <w:t>Defence</w:t>
            </w:r>
            <w:proofErr w:type="spellEnd"/>
            <w:r w:rsidRPr="00F068FF">
              <w:t xml:space="preserve"> (CHOD) gender advisor </w:t>
            </w:r>
            <w:r w:rsidRPr="00F068FF">
              <w:lastRenderedPageBreak/>
              <w:t xml:space="preserve">(not certified), and eight certified gender trainers. Montenegrin certified gender advisor OF3 Sanja </w:t>
            </w:r>
            <w:proofErr w:type="spellStart"/>
            <w:r w:rsidRPr="00F068FF">
              <w:t>Pejović</w:t>
            </w:r>
            <w:proofErr w:type="spellEnd"/>
            <w:r w:rsidRPr="00F068FF">
              <w:t xml:space="preserve"> operates as a gender advisor to the Supreme Allied Commander Europe at NATO SHAPE in Mons.</w:t>
            </w:r>
          </w:p>
          <w:p w14:paraId="2E97C1DC" w14:textId="77777777" w:rsidR="00E6294A" w:rsidRPr="00F068FF" w:rsidRDefault="00E6294A" w:rsidP="00E6294A">
            <w:pPr>
              <w:spacing w:after="0"/>
            </w:pPr>
            <w:r>
              <w:t xml:space="preserve">[…] </w:t>
            </w:r>
            <w:r w:rsidRPr="00F068FF">
              <w:t>The MoD puts notable effort into promoting military careers through media campaigns, school campaigns, local community campaigns and Open Days with special focus on potential young women recruits.</w:t>
            </w:r>
            <w:r>
              <w:t>”</w:t>
            </w:r>
            <w:r>
              <w:rPr>
                <w:rStyle w:val="FootnoteReference"/>
              </w:rPr>
              <w:footnoteReference w:id="224"/>
            </w:r>
          </w:p>
          <w:p w14:paraId="0EF4CF12" w14:textId="77777777" w:rsidR="00E6294A" w:rsidRDefault="00E6294A" w:rsidP="00E6294A">
            <w:pPr>
              <w:rPr>
                <w:b/>
                <w:bCs/>
              </w:rPr>
            </w:pPr>
            <w:r>
              <w:rPr>
                <w:b/>
                <w:bCs/>
              </w:rPr>
              <w:t>Note 2</w:t>
            </w:r>
            <w:r w:rsidRPr="00C50216">
              <w:t xml:space="preserve">: </w:t>
            </w:r>
            <w:r>
              <w:rPr>
                <w:b/>
                <w:bCs/>
              </w:rPr>
              <w:t>Suitable military equipment/facilities/uniforms for both sexes.</w:t>
            </w:r>
          </w:p>
          <w:p w14:paraId="6E4AC66B" w14:textId="77777777" w:rsidR="005F1533" w:rsidRDefault="00E6294A" w:rsidP="00E6294A">
            <w:r>
              <w:t>“</w:t>
            </w:r>
            <w:r w:rsidRPr="00F068FF">
              <w:t xml:space="preserve">Women and men use the same military equipment, which can be adapted to both women and men. Permanent accommodation, dormitories, changing rooms, bathrooms, sanitary </w:t>
            </w:r>
            <w:proofErr w:type="gramStart"/>
            <w:r w:rsidRPr="00F068FF">
              <w:t>facilities</w:t>
            </w:r>
            <w:proofErr w:type="gramEnd"/>
            <w:r w:rsidRPr="00F068FF">
              <w:t xml:space="preserve"> and other rooms for personal hygiene are adapted specifically for women. </w:t>
            </w:r>
            <w:proofErr w:type="gramStart"/>
            <w:r w:rsidRPr="00F068FF">
              <w:t>In regards to</w:t>
            </w:r>
            <w:proofErr w:type="gramEnd"/>
            <w:r w:rsidRPr="00F068FF">
              <w:t xml:space="preserve"> temporary accommodation in the camping areas of the Armed Forces, special field accessories and equipment are earmarked for women, as well as special </w:t>
            </w:r>
            <w:r w:rsidRPr="00F068FF">
              <w:lastRenderedPageBreak/>
              <w:t>locations for hygiene maintenance.</w:t>
            </w:r>
            <w:r>
              <w:t>”</w:t>
            </w:r>
            <w:r w:rsidRPr="00F068FF">
              <w:rPr>
                <w:rStyle w:val="FootnoteReference"/>
              </w:rPr>
              <w:t xml:space="preserve"> </w:t>
            </w:r>
            <w:r>
              <w:rPr>
                <w:rStyle w:val="FootnoteReference"/>
              </w:rPr>
              <w:footnoteReference w:id="225"/>
            </w:r>
          </w:p>
          <w:p w14:paraId="433580A8" w14:textId="46ECC78B" w:rsidR="00E6294A" w:rsidRPr="00E6294A" w:rsidRDefault="00E6294A" w:rsidP="00E6294A"/>
        </w:tc>
        <w:tc>
          <w:tcPr>
            <w:tcW w:w="949" w:type="pct"/>
            <w:shd w:val="clear" w:color="auto" w:fill="auto"/>
          </w:tcPr>
          <w:p w14:paraId="7E93BA51" w14:textId="5A7A7E5E" w:rsidR="00696F71" w:rsidRPr="006A5067" w:rsidRDefault="006A5067" w:rsidP="00714158">
            <w:pPr>
              <w:rPr>
                <w:b/>
                <w:bCs/>
              </w:rPr>
            </w:pPr>
            <w:r>
              <w:rPr>
                <w:b/>
                <w:bCs/>
              </w:rPr>
              <w:lastRenderedPageBreak/>
              <w:t>No mandatory military service</w:t>
            </w:r>
            <w:r w:rsidR="00CC362F">
              <w:rPr>
                <w:b/>
                <w:bCs/>
              </w:rPr>
              <w:t>.</w:t>
            </w:r>
          </w:p>
          <w:p w14:paraId="0F601CF4" w14:textId="77777777" w:rsidR="00696F71" w:rsidRDefault="00696F71" w:rsidP="00696F71">
            <w:r>
              <w:t>“18 is the legal minimum age for voluntary military service; conscription abolished in 2006 (2023)</w:t>
            </w:r>
          </w:p>
          <w:p w14:paraId="33BDDE9B" w14:textId="5228AD32" w:rsidR="004116DF" w:rsidRPr="00662CBC" w:rsidRDefault="00696F71" w:rsidP="00696F71">
            <w:r w:rsidRPr="00696F71">
              <w:rPr>
                <w:b/>
                <w:bCs/>
              </w:rPr>
              <w:t>note</w:t>
            </w:r>
            <w:r>
              <w:t>: as of 2021, women made up about 10% of the military's full-time personnel.”</w:t>
            </w:r>
            <w:r w:rsidR="004116DF" w:rsidRPr="005D2F5A">
              <w:rPr>
                <w:rStyle w:val="FootnoteReference"/>
              </w:rPr>
              <w:footnoteReference w:id="226"/>
            </w:r>
          </w:p>
        </w:tc>
        <w:tc>
          <w:tcPr>
            <w:tcW w:w="677" w:type="pct"/>
            <w:shd w:val="clear" w:color="auto" w:fill="auto"/>
          </w:tcPr>
          <w:p w14:paraId="560BC565" w14:textId="77777777" w:rsidR="004116DF" w:rsidRDefault="00000000" w:rsidP="00714158">
            <w:pPr>
              <w:rPr>
                <w:b/>
                <w:bCs/>
              </w:rPr>
            </w:pPr>
            <w:hyperlink r:id="rId87" w:history="1">
              <w:r w:rsidR="006A6897" w:rsidRPr="005D3D9D">
                <w:rPr>
                  <w:rStyle w:val="Hyperlink"/>
                  <w:b/>
                  <w:bCs/>
                </w:rPr>
                <w:t>NAP</w:t>
              </w:r>
              <w:r w:rsidR="005D3D9D" w:rsidRPr="005D3D9D">
                <w:rPr>
                  <w:rStyle w:val="Hyperlink"/>
                  <w:b/>
                  <w:bCs/>
                </w:rPr>
                <w:t xml:space="preserve"> 2017-2018</w:t>
              </w:r>
              <w:r w:rsidR="005D3D9D" w:rsidRPr="005D3D9D">
                <w:rPr>
                  <w:rStyle w:val="Hyperlink"/>
                </w:rPr>
                <w:t xml:space="preserve"> (2018)</w:t>
              </w:r>
            </w:hyperlink>
          </w:p>
          <w:p w14:paraId="1CA09D0B" w14:textId="77777777" w:rsidR="00963E6A" w:rsidRDefault="00963E6A" w:rsidP="00963E6A">
            <w:r>
              <w:t>Dominant focus is participation</w:t>
            </w:r>
            <w:r>
              <w:rPr>
                <w:rStyle w:val="FootnoteReference"/>
              </w:rPr>
              <w:footnoteReference w:id="227"/>
            </w:r>
          </w:p>
          <w:p w14:paraId="76957350" w14:textId="402FA371" w:rsidR="00963E6A" w:rsidRPr="005D3D9D" w:rsidRDefault="002F15FC" w:rsidP="00714158">
            <w:r>
              <w:t xml:space="preserve">No precise objectives </w:t>
            </w:r>
          </w:p>
        </w:tc>
      </w:tr>
      <w:tr w:rsidR="00CB5BD0" w:rsidRPr="00662CBC" w14:paraId="27E1D6B4" w14:textId="77777777" w:rsidTr="00F37D6B">
        <w:trPr>
          <w:trHeight w:val="2468"/>
        </w:trPr>
        <w:tc>
          <w:tcPr>
            <w:tcW w:w="139" w:type="pct"/>
            <w:shd w:val="clear" w:color="auto" w:fill="auto"/>
          </w:tcPr>
          <w:p w14:paraId="63651F93"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397930E8" w14:textId="77777777" w:rsidR="004116DF" w:rsidRPr="00662CBC" w:rsidRDefault="004116DF" w:rsidP="006064D6">
            <w:pPr>
              <w:pStyle w:val="Heading3"/>
            </w:pPr>
            <w:bookmarkStart w:id="37" w:name="_Toc132806720"/>
            <w:r w:rsidRPr="00662CBC">
              <w:t>The Netherlands</w:t>
            </w:r>
            <w:bookmarkEnd w:id="37"/>
            <w:r w:rsidRPr="00662CBC">
              <w:t xml:space="preserve"> </w:t>
            </w:r>
          </w:p>
          <w:p w14:paraId="7955FA56" w14:textId="77777777" w:rsidR="004116DF" w:rsidRPr="00662CBC" w:rsidRDefault="004116DF" w:rsidP="006064D6">
            <w:pPr>
              <w:rPr>
                <w:b/>
                <w:bCs/>
                <w:szCs w:val="20"/>
              </w:rPr>
            </w:pPr>
          </w:p>
        </w:tc>
        <w:tc>
          <w:tcPr>
            <w:tcW w:w="855" w:type="pct"/>
            <w:shd w:val="clear" w:color="auto" w:fill="auto"/>
          </w:tcPr>
          <w:p w14:paraId="3A52B215" w14:textId="09E9ABD1" w:rsidR="004116DF" w:rsidRPr="00662CBC" w:rsidRDefault="004116DF" w:rsidP="00714158">
            <w:r w:rsidRPr="00662CBC">
              <w:t>s. NDC submitted by EU</w:t>
            </w:r>
          </w:p>
        </w:tc>
        <w:tc>
          <w:tcPr>
            <w:tcW w:w="1023" w:type="pct"/>
            <w:shd w:val="clear" w:color="auto" w:fill="auto"/>
          </w:tcPr>
          <w:p w14:paraId="41304A16" w14:textId="22079425" w:rsidR="004116DF" w:rsidRDefault="00000000" w:rsidP="00714158">
            <w:hyperlink r:id="rId88" w:history="1">
              <w:r w:rsidR="00591184" w:rsidRPr="00591184">
                <w:rPr>
                  <w:rStyle w:val="Hyperlink"/>
                </w:rPr>
                <w:t>Equal treatment of men and women act, art.1b</w:t>
              </w:r>
            </w:hyperlink>
            <w:r w:rsidR="00591184">
              <w:t>: prohibits the</w:t>
            </w:r>
            <w:r w:rsidR="00D2792E">
              <w:t xml:space="preserve"> different treatment in promotion</w:t>
            </w:r>
            <w:r w:rsidR="00EE1EAE">
              <w:t xml:space="preserve"> of public </w:t>
            </w:r>
            <w:proofErr w:type="gramStart"/>
            <w:r w:rsidR="00EE1EAE">
              <w:t>servants</w:t>
            </w:r>
            <w:proofErr w:type="gramEnd"/>
            <w:r w:rsidR="00EE1EAE">
              <w:t xml:space="preserve"> </w:t>
            </w:r>
          </w:p>
          <w:p w14:paraId="1A3AD775" w14:textId="77777777" w:rsidR="00591184" w:rsidRDefault="00591184" w:rsidP="00714158"/>
          <w:p w14:paraId="20B493FF" w14:textId="762D1046" w:rsidR="003378CC" w:rsidRPr="003378CC" w:rsidRDefault="003378CC" w:rsidP="00714158">
            <w:r>
              <w:rPr>
                <w:b/>
                <w:bCs/>
              </w:rPr>
              <w:t>Potentially a soft quota</w:t>
            </w:r>
            <w:r>
              <w:t>:</w:t>
            </w:r>
          </w:p>
          <w:p w14:paraId="56EC3673" w14:textId="664472CC" w:rsidR="00ED7C76" w:rsidRDefault="00ED7C76" w:rsidP="00714158">
            <w:r>
              <w:t>“</w:t>
            </w:r>
            <w:r w:rsidRPr="00ED7C76">
              <w:t xml:space="preserve">In a </w:t>
            </w:r>
            <w:hyperlink r:id="rId89" w:history="1">
              <w:r w:rsidRPr="00A64139">
                <w:rPr>
                  <w:rStyle w:val="Hyperlink"/>
                </w:rPr>
                <w:t>letter dated February</w:t>
              </w:r>
              <w:r w:rsidR="00552DF6">
                <w:rPr>
                  <w:rStyle w:val="Hyperlink"/>
                </w:rPr>
                <w:t xml:space="preserve"> </w:t>
              </w:r>
              <w:r w:rsidR="00552DF6" w:rsidRPr="00552DF6">
                <w:rPr>
                  <w:rStyle w:val="Hyperlink"/>
                </w:rPr>
                <w:t>25</w:t>
              </w:r>
              <w:r w:rsidR="00552DF6">
                <w:rPr>
                  <w:rStyle w:val="Hyperlink"/>
                </w:rPr>
                <w:t>,</w:t>
              </w:r>
              <w:r w:rsidRPr="00A64139">
                <w:rPr>
                  <w:rStyle w:val="Hyperlink"/>
                </w:rPr>
                <w:t xml:space="preserve"> 2022</w:t>
              </w:r>
            </w:hyperlink>
            <w:r w:rsidRPr="00ED7C76">
              <w:t xml:space="preserve"> to Parliament, the Minister of Education, Culture and Science announced that the various ministries and their executive bodies aim to have 45 % to 55 % of women at the top or near the top of their </w:t>
            </w:r>
            <w:proofErr w:type="spellStart"/>
            <w:r w:rsidRPr="00ED7C76">
              <w:t>organisations</w:t>
            </w:r>
            <w:proofErr w:type="spellEnd"/>
            <w:r w:rsidRPr="00ED7C76">
              <w:t>. Furthermore, the Government has set itself a target of 50 % women at the top for appointments in independent administrative bodies and advisory bodies. The Government will also engage in a dialogue with the High Colleges of State</w:t>
            </w:r>
            <w:r w:rsidRPr="00ED7C76">
              <w:rPr>
                <w:vertAlign w:val="superscript"/>
              </w:rPr>
              <w:t>52</w:t>
            </w:r>
            <w:r w:rsidRPr="00ED7C76">
              <w:t xml:space="preserve"> to ensure that they also seek 50 % women in top positions. When the House of Representatives is involved in appointments, it is hoped that it will embrace this target as well. The ambition is to achieve the target of 50 </w:t>
            </w:r>
            <w:r w:rsidRPr="00ED7C76">
              <w:lastRenderedPageBreak/>
              <w:t xml:space="preserve">% at the top of these </w:t>
            </w:r>
            <w:proofErr w:type="spellStart"/>
            <w:r w:rsidRPr="00ED7C76">
              <w:t>organisations</w:t>
            </w:r>
            <w:proofErr w:type="spellEnd"/>
            <w:r w:rsidRPr="00ED7C76">
              <w:t xml:space="preserve"> within five years. The targets will not be set legally, but the Government will report annually on progress to the Lower House. Finally, the Government will create a legal obligation for </w:t>
            </w:r>
            <w:proofErr w:type="spellStart"/>
            <w:r w:rsidRPr="00ED7C76">
              <w:t>organisations</w:t>
            </w:r>
            <w:proofErr w:type="spellEnd"/>
            <w:r w:rsidRPr="00ED7C76">
              <w:t xml:space="preserve"> in the (semi)public sector to set a target for the percentage of women at or near the top. The Government calls on this sector to work towards a situation where 50 % of its workforce is women. However, the Government does not want to oblige (semi)public </w:t>
            </w:r>
            <w:proofErr w:type="spellStart"/>
            <w:r w:rsidRPr="00ED7C76">
              <w:t>organisations</w:t>
            </w:r>
            <w:proofErr w:type="spellEnd"/>
            <w:r w:rsidRPr="00ED7C76">
              <w:t xml:space="preserve"> to reach this target, because they have already reached the target of one-third, which is applicable in the private sector, and because it is expected that (semi)public </w:t>
            </w:r>
            <w:proofErr w:type="spellStart"/>
            <w:r w:rsidRPr="00ED7C76">
              <w:t>organisations</w:t>
            </w:r>
            <w:proofErr w:type="spellEnd"/>
            <w:r w:rsidRPr="00ED7C76">
              <w:t xml:space="preserve"> will reach the 50 % without a legal quota</w:t>
            </w:r>
            <w:r w:rsidR="003378CC">
              <w:t>.”</w:t>
            </w:r>
            <w:r w:rsidR="00B36D4F">
              <w:rPr>
                <w:rStyle w:val="FootnoteReference"/>
              </w:rPr>
              <w:footnoteReference w:id="228"/>
            </w:r>
          </w:p>
          <w:p w14:paraId="593F892C" w14:textId="77777777" w:rsidR="00B07291" w:rsidRDefault="00B07291" w:rsidP="00714158"/>
          <w:p w14:paraId="109B0393" w14:textId="77777777" w:rsidR="00B07291" w:rsidRDefault="00B07291" w:rsidP="00714158">
            <w:r>
              <w:rPr>
                <w:b/>
                <w:bCs/>
              </w:rPr>
              <w:t>Letter</w:t>
            </w:r>
            <w:r>
              <w:t xml:space="preserve">: </w:t>
            </w:r>
          </w:p>
          <w:p w14:paraId="7A976EFC" w14:textId="77777777" w:rsidR="00B07291" w:rsidRDefault="00B07291" w:rsidP="00714158">
            <w:r>
              <w:t>“</w:t>
            </w:r>
            <w:r w:rsidRPr="00B07291">
              <w:t xml:space="preserve">The government wants to emphasize that diversity at the top of the public and semi-public sector extends beyond gender alone. It is equally important, for example, to allow people with a culturally diverse background, LGBTIQ+ people and people with a </w:t>
            </w:r>
            <w:r w:rsidRPr="00B07291">
              <w:lastRenderedPageBreak/>
              <w:t>disability to flow through and into the top. In addition to more women in top and sub-top positions, the government also wants to focus on an integrated diversity approach. In view of the content of the advice, the focus in this government response is on gender diversity.</w:t>
            </w:r>
            <w:r>
              <w:t>”</w:t>
            </w:r>
            <w:r w:rsidR="000F4C9E">
              <w:rPr>
                <w:rStyle w:val="FootnoteReference"/>
              </w:rPr>
              <w:footnoteReference w:id="229"/>
            </w:r>
          </w:p>
          <w:p w14:paraId="4FD3F718" w14:textId="77777777" w:rsidR="00007233" w:rsidRPr="00F07275" w:rsidRDefault="00007233" w:rsidP="00007233">
            <w:r>
              <w:rPr>
                <w:b/>
                <w:bCs/>
              </w:rPr>
              <w:t xml:space="preserve">State Report </w:t>
            </w:r>
            <w:r>
              <w:t>(2022):</w:t>
            </w:r>
          </w:p>
          <w:p w14:paraId="11BB3D25" w14:textId="77777777" w:rsidR="00007233" w:rsidRDefault="00007233" w:rsidP="00007233">
            <w:r>
              <w:t>“</w:t>
            </w:r>
            <w:r w:rsidRPr="00F07275">
              <w:t xml:space="preserve">24. These measures in the private sector will be supplemented by measures in the public and semi-public sectors. Given the considerable diversity of the </w:t>
            </w:r>
            <w:proofErr w:type="spellStart"/>
            <w:r w:rsidRPr="00F07275">
              <w:t>organisations</w:t>
            </w:r>
            <w:proofErr w:type="spellEnd"/>
            <w:r w:rsidRPr="00F07275">
              <w:t xml:space="preserve"> herein, a one-size-fits-all regulation is not workable. On 25 February 2022, a letter was sent to Parliament outlining the measures foreseen in the (semi)public sector, falling into three categories: </w:t>
            </w:r>
          </w:p>
          <w:p w14:paraId="57257DB8" w14:textId="77777777" w:rsidR="00007233" w:rsidRDefault="00007233" w:rsidP="00007233">
            <w:r w:rsidRPr="00F07275">
              <w:t xml:space="preserve">• A target figure for the (sub)top of ministries and their administrative agencies between 45% and 55% women, to be reached within five </w:t>
            </w:r>
            <w:proofErr w:type="gramStart"/>
            <w:r w:rsidRPr="00F07275">
              <w:t>years;</w:t>
            </w:r>
            <w:proofErr w:type="gramEnd"/>
          </w:p>
          <w:p w14:paraId="5454EE68" w14:textId="77777777" w:rsidR="00007233" w:rsidRDefault="00007233" w:rsidP="00007233">
            <w:r w:rsidRPr="00F07275">
              <w:t xml:space="preserve">• A target figure of 50% women in the top of independent administrative bodies and advisory councils that are appointed by government; </w:t>
            </w:r>
          </w:p>
          <w:p w14:paraId="594B0191" w14:textId="77777777" w:rsidR="00007233" w:rsidRDefault="00007233" w:rsidP="00007233">
            <w:r w:rsidRPr="00F07275">
              <w:lastRenderedPageBreak/>
              <w:t xml:space="preserve">• Government calls on the entire (semi)public sector to work towards 50% women in the (sub)top, setting a statutory obligation to formulate ambitious target figures for remaining (administrative) </w:t>
            </w:r>
            <w:proofErr w:type="spellStart"/>
            <w:r w:rsidRPr="00F07275">
              <w:t>organisations</w:t>
            </w:r>
            <w:proofErr w:type="spellEnd"/>
            <w:r w:rsidRPr="00F07275">
              <w:t xml:space="preserve"> within the (semi)public sector.</w:t>
            </w:r>
            <w:r>
              <w:t>”</w:t>
            </w:r>
            <w:r>
              <w:rPr>
                <w:rStyle w:val="FootnoteReference"/>
              </w:rPr>
              <w:footnoteReference w:id="230"/>
            </w:r>
          </w:p>
          <w:p w14:paraId="20E1F7F4" w14:textId="77777777" w:rsidR="00DA4C1D" w:rsidRDefault="00DA4C1D" w:rsidP="00714158"/>
          <w:p w14:paraId="0E56533B" w14:textId="1BD45911" w:rsidR="00DA4C1D" w:rsidRPr="00DA4C1D" w:rsidRDefault="00DA4C1D" w:rsidP="00714158">
            <w:r>
              <w:rPr>
                <w:b/>
                <w:bCs/>
              </w:rPr>
              <w:t>Note 2: Feminist Foreign Policy</w:t>
            </w:r>
            <w:r>
              <w:t>, defined as: “</w:t>
            </w:r>
            <w:r w:rsidR="00E9654A" w:rsidRPr="00E9654A">
              <w:t>equal rights and equality become the main focus of all aspects of Dutch foreign policy. [...] Feminist foreign policy means protecting human rights and promoting meaningful participation in decision-making by women and LGBTIQ+ people.</w:t>
            </w:r>
            <w:r w:rsidR="00E9654A">
              <w:t>”</w:t>
            </w:r>
            <w:r w:rsidR="00E9654A">
              <w:rPr>
                <w:rStyle w:val="FootnoteReference"/>
              </w:rPr>
              <w:footnoteReference w:id="231"/>
            </w:r>
          </w:p>
        </w:tc>
        <w:tc>
          <w:tcPr>
            <w:tcW w:w="903" w:type="pct"/>
            <w:shd w:val="clear" w:color="auto" w:fill="auto"/>
          </w:tcPr>
          <w:p w14:paraId="3F8DB837" w14:textId="77777777" w:rsidR="004116DF" w:rsidRDefault="00552DF6" w:rsidP="00552DF6">
            <w:r>
              <w:lastRenderedPageBreak/>
              <w:t>—</w:t>
            </w:r>
          </w:p>
          <w:p w14:paraId="208B3E9C" w14:textId="6074BE09" w:rsidR="00552DF6" w:rsidRDefault="00552DF6" w:rsidP="00552DF6">
            <w:r>
              <w:t xml:space="preserve">See </w:t>
            </w:r>
            <w:r w:rsidRPr="00BE6BE8">
              <w:rPr>
                <w:u w:val="single"/>
              </w:rPr>
              <w:t>letter of February</w:t>
            </w:r>
            <w:r w:rsidR="00BE6BE8" w:rsidRPr="00BE6BE8">
              <w:rPr>
                <w:u w:val="single"/>
              </w:rPr>
              <w:t xml:space="preserve"> 25,</w:t>
            </w:r>
            <w:r w:rsidRPr="00BE6BE8">
              <w:rPr>
                <w:u w:val="single"/>
              </w:rPr>
              <w:t xml:space="preserve"> 2022</w:t>
            </w:r>
          </w:p>
          <w:p w14:paraId="70DA5778" w14:textId="77777777" w:rsidR="00BE6BE8" w:rsidRDefault="00BE6BE8" w:rsidP="00552DF6"/>
          <w:p w14:paraId="035A9959" w14:textId="77777777" w:rsidR="00BE6BE8" w:rsidRPr="00366746" w:rsidRDefault="00BE6BE8" w:rsidP="00BE6BE8">
            <w:pPr>
              <w:rPr>
                <w:b/>
                <w:bCs/>
              </w:rPr>
            </w:pPr>
            <w:r>
              <w:rPr>
                <w:b/>
                <w:bCs/>
              </w:rPr>
              <w:t>Note 1</w:t>
            </w:r>
            <w:r>
              <w:t xml:space="preserve">: </w:t>
            </w:r>
            <w:r>
              <w:rPr>
                <w:b/>
                <w:bCs/>
              </w:rPr>
              <w:t xml:space="preserve">Institutional mechanism to integrate </w:t>
            </w:r>
            <w:proofErr w:type="gramStart"/>
            <w:r>
              <w:rPr>
                <w:b/>
                <w:bCs/>
              </w:rPr>
              <w:t>gender</w:t>
            </w:r>
            <w:proofErr w:type="gramEnd"/>
          </w:p>
          <w:p w14:paraId="45B99D76" w14:textId="77777777" w:rsidR="00BE6BE8" w:rsidRDefault="00BE6BE8" w:rsidP="00BE6BE8">
            <w:r>
              <w:t>“</w:t>
            </w:r>
            <w:r w:rsidRPr="008F4C40">
              <w:t xml:space="preserve">There is no quota system for women or men in the Dutch armed forces. There are no restrictions on the incorporation of women in the armed forces and/or the Ministry of </w:t>
            </w:r>
            <w:proofErr w:type="spellStart"/>
            <w:r w:rsidRPr="008F4C40">
              <w:t>Defence</w:t>
            </w:r>
            <w:proofErr w:type="spellEnd"/>
            <w:r w:rsidRPr="008F4C40">
              <w:t xml:space="preserve"> (MoD). Since March 2020, there is a Gender Advisor that deals with the integration of gender perspectives in the armed forces. There are two departments working on Diversity and Inclusion and Gender. The first deals with </w:t>
            </w:r>
            <w:proofErr w:type="spellStart"/>
            <w:r w:rsidRPr="008F4C40">
              <w:t>organisational</w:t>
            </w:r>
            <w:proofErr w:type="spellEnd"/>
            <w:r w:rsidRPr="008F4C40">
              <w:t xml:space="preserve"> excellence (Personnel Directorate). The other is working on Women, Peace and Security and is situated within </w:t>
            </w:r>
            <w:r w:rsidRPr="008F4C40">
              <w:lastRenderedPageBreak/>
              <w:t>the Operations Directorate/J9.</w:t>
            </w:r>
            <w:r>
              <w:t>”</w:t>
            </w:r>
            <w:r>
              <w:rPr>
                <w:rStyle w:val="FootnoteReference"/>
              </w:rPr>
              <w:footnoteReference w:id="232"/>
            </w:r>
          </w:p>
          <w:p w14:paraId="7CDA7F32" w14:textId="77777777" w:rsidR="00BE6BE8" w:rsidRDefault="00BE6BE8" w:rsidP="00BE6BE8"/>
          <w:p w14:paraId="654E9E5E" w14:textId="77777777" w:rsidR="00BE6BE8" w:rsidRDefault="00BE6BE8" w:rsidP="00BE6BE8">
            <w:pPr>
              <w:rPr>
                <w:b/>
                <w:bCs/>
              </w:rPr>
            </w:pPr>
            <w:r>
              <w:rPr>
                <w:b/>
                <w:bCs/>
              </w:rPr>
              <w:t>Note 2</w:t>
            </w:r>
            <w:r w:rsidRPr="00C50216">
              <w:t xml:space="preserve">: </w:t>
            </w:r>
            <w:r>
              <w:rPr>
                <w:b/>
                <w:bCs/>
              </w:rPr>
              <w:t>Suitable military facilities and uniforms for both sexes. Military equipment is not adapted.</w:t>
            </w:r>
          </w:p>
          <w:p w14:paraId="141E6A12" w14:textId="77777777" w:rsidR="00BE6BE8" w:rsidRPr="00F068FF" w:rsidRDefault="00BE6BE8" w:rsidP="00BE6BE8">
            <w:r>
              <w:t>“</w:t>
            </w:r>
            <w:r w:rsidRPr="00F068FF">
              <w:t xml:space="preserve">Military equipment (weapons, </w:t>
            </w:r>
            <w:proofErr w:type="spellStart"/>
            <w:r w:rsidRPr="00F068FF">
              <w:t>armour</w:t>
            </w:r>
            <w:proofErr w:type="spellEnd"/>
            <w:r w:rsidRPr="00F068FF">
              <w:t xml:space="preserve"> plates or backpacks) is not adapted for both women and men. Service dress is adapted for women and men. There are lighter combat harnesses for women. Military facilities on board of large naval vessels accommodate women and men separately.</w:t>
            </w:r>
            <w:r>
              <w:t>”</w:t>
            </w:r>
            <w:r w:rsidRPr="00F068FF">
              <w:rPr>
                <w:rStyle w:val="FootnoteReference"/>
              </w:rPr>
              <w:t xml:space="preserve"> </w:t>
            </w:r>
            <w:r>
              <w:rPr>
                <w:rStyle w:val="FootnoteReference"/>
              </w:rPr>
              <w:footnoteReference w:id="233"/>
            </w:r>
          </w:p>
          <w:p w14:paraId="20C3C47E" w14:textId="3AD4C71D" w:rsidR="00BE6BE8" w:rsidRPr="00662CBC" w:rsidRDefault="00BE6BE8" w:rsidP="00552DF6"/>
        </w:tc>
        <w:tc>
          <w:tcPr>
            <w:tcW w:w="949" w:type="pct"/>
            <w:shd w:val="clear" w:color="auto" w:fill="auto"/>
          </w:tcPr>
          <w:p w14:paraId="6CCEC58E" w14:textId="6CE01B30" w:rsidR="00A25468" w:rsidRDefault="00B3669C" w:rsidP="00A25468">
            <w:r w:rsidRPr="00662CBC">
              <w:rPr>
                <w:b/>
                <w:bCs/>
              </w:rPr>
              <w:lastRenderedPageBreak/>
              <w:t>No mandatory military service.</w:t>
            </w:r>
          </w:p>
          <w:p w14:paraId="561CDF4D" w14:textId="10C4E696" w:rsidR="004116DF" w:rsidRPr="00662CBC" w:rsidRDefault="00A25468" w:rsidP="00A25468">
            <w:r>
              <w:t>“</w:t>
            </w:r>
            <w:r w:rsidRPr="00A25468">
              <w:t>17 years of age for voluntary service for men and women; the military is an all-volunteer force; conscription remains in place, but the requirement to show up for compulsory military service was suspended in 1997; must be a citizen of the Netherlands (2022)</w:t>
            </w:r>
            <w:r w:rsidRPr="00A25468">
              <w:br/>
            </w:r>
            <w:r w:rsidRPr="00A25468">
              <w:rPr>
                <w:b/>
                <w:bCs/>
              </w:rPr>
              <w:t>note: </w:t>
            </w:r>
            <w:r w:rsidRPr="00A25468">
              <w:t>in 2019, women made up about 11% of the military's full-time personnel</w:t>
            </w:r>
            <w:r>
              <w:t>”</w:t>
            </w:r>
            <w:r w:rsidR="004116DF" w:rsidRPr="005D2F5A">
              <w:rPr>
                <w:rStyle w:val="FootnoteReference"/>
              </w:rPr>
              <w:footnoteReference w:id="234"/>
            </w:r>
          </w:p>
        </w:tc>
        <w:tc>
          <w:tcPr>
            <w:tcW w:w="677" w:type="pct"/>
            <w:shd w:val="clear" w:color="auto" w:fill="auto"/>
          </w:tcPr>
          <w:p w14:paraId="2C6E5846" w14:textId="7CE7E1EA" w:rsidR="004116DF" w:rsidRDefault="00000000" w:rsidP="00714158">
            <w:hyperlink r:id="rId90" w:history="1">
              <w:r w:rsidR="006A6897" w:rsidRPr="00D03583">
                <w:rPr>
                  <w:rStyle w:val="Hyperlink"/>
                  <w:b/>
                  <w:bCs/>
                </w:rPr>
                <w:t>NAP</w:t>
              </w:r>
              <w:r w:rsidR="00D03583" w:rsidRPr="00D03583">
                <w:rPr>
                  <w:rStyle w:val="Hyperlink"/>
                  <w:b/>
                  <w:bCs/>
                </w:rPr>
                <w:t xml:space="preserve"> 2008-2013 </w:t>
              </w:r>
              <w:r w:rsidR="00D03583" w:rsidRPr="00D03583">
                <w:rPr>
                  <w:rStyle w:val="Hyperlink"/>
                </w:rPr>
                <w:t>(2007)</w:t>
              </w:r>
            </w:hyperlink>
          </w:p>
          <w:p w14:paraId="6B367A50" w14:textId="60A611F6" w:rsidR="00D03583" w:rsidRPr="00D03583" w:rsidRDefault="00000000" w:rsidP="00714158">
            <w:hyperlink r:id="rId91" w:history="1">
              <w:r w:rsidR="00D03583" w:rsidRPr="00C43B8E">
                <w:rPr>
                  <w:rStyle w:val="Hyperlink"/>
                  <w:b/>
                  <w:bCs/>
                </w:rPr>
                <w:t>NAP</w:t>
              </w:r>
              <w:r w:rsidR="00C43B8E" w:rsidRPr="00C43B8E">
                <w:rPr>
                  <w:rStyle w:val="Hyperlink"/>
                </w:rPr>
                <w:t xml:space="preserve"> </w:t>
              </w:r>
              <w:r w:rsidR="00C43B8E" w:rsidRPr="00C43B8E">
                <w:rPr>
                  <w:rStyle w:val="Hyperlink"/>
                  <w:b/>
                  <w:bCs/>
                </w:rPr>
                <w:t>2012-2015</w:t>
              </w:r>
              <w:r w:rsidR="00D03583" w:rsidRPr="00C43B8E">
                <w:rPr>
                  <w:rStyle w:val="Hyperlink"/>
                  <w:b/>
                  <w:bCs/>
                </w:rPr>
                <w:t xml:space="preserve"> </w:t>
              </w:r>
              <w:r w:rsidR="00D03583" w:rsidRPr="00C43B8E">
                <w:rPr>
                  <w:rStyle w:val="Hyperlink"/>
                </w:rPr>
                <w:t>(</w:t>
              </w:r>
              <w:r w:rsidR="00C43B8E" w:rsidRPr="00C43B8E">
                <w:rPr>
                  <w:rStyle w:val="Hyperlink"/>
                </w:rPr>
                <w:t>2011</w:t>
              </w:r>
              <w:r w:rsidR="00D03583" w:rsidRPr="00C43B8E">
                <w:rPr>
                  <w:rStyle w:val="Hyperlink"/>
                </w:rPr>
                <w:t>)</w:t>
              </w:r>
            </w:hyperlink>
          </w:p>
          <w:p w14:paraId="78027A9B" w14:textId="10107A28" w:rsidR="00D03583" w:rsidRPr="00D03583" w:rsidRDefault="00000000" w:rsidP="00D03583">
            <w:hyperlink r:id="rId92" w:history="1">
              <w:r w:rsidR="00D03583" w:rsidRPr="00B1211D">
                <w:rPr>
                  <w:rStyle w:val="Hyperlink"/>
                  <w:b/>
                  <w:bCs/>
                </w:rPr>
                <w:t>NAP</w:t>
              </w:r>
              <w:r w:rsidR="00B1211D" w:rsidRPr="00B1211D">
                <w:rPr>
                  <w:rStyle w:val="Hyperlink"/>
                  <w:b/>
                  <w:bCs/>
                </w:rPr>
                <w:t xml:space="preserve"> 2016-2019</w:t>
              </w:r>
              <w:r w:rsidR="00D03583" w:rsidRPr="00B1211D">
                <w:rPr>
                  <w:rStyle w:val="Hyperlink"/>
                  <w:b/>
                  <w:bCs/>
                </w:rPr>
                <w:t xml:space="preserve"> </w:t>
              </w:r>
              <w:r w:rsidR="00D03583" w:rsidRPr="00B1211D">
                <w:rPr>
                  <w:rStyle w:val="Hyperlink"/>
                </w:rPr>
                <w:t>(</w:t>
              </w:r>
              <w:r w:rsidR="00B1211D" w:rsidRPr="00B1211D">
                <w:rPr>
                  <w:rStyle w:val="Hyperlink"/>
                </w:rPr>
                <w:t>2016</w:t>
              </w:r>
              <w:r w:rsidR="00D03583" w:rsidRPr="00B1211D">
                <w:rPr>
                  <w:rStyle w:val="Hyperlink"/>
                </w:rPr>
                <w:t>)</w:t>
              </w:r>
            </w:hyperlink>
          </w:p>
          <w:p w14:paraId="13BB9367" w14:textId="00B78CD3" w:rsidR="00D03583" w:rsidRDefault="00000000" w:rsidP="00433809">
            <w:pPr>
              <w:rPr>
                <w:b/>
                <w:bCs/>
              </w:rPr>
            </w:pPr>
            <w:hyperlink r:id="rId93" w:history="1">
              <w:r w:rsidR="00D03583" w:rsidRPr="00056701">
                <w:rPr>
                  <w:rStyle w:val="Hyperlink"/>
                  <w:b/>
                  <w:bCs/>
                </w:rPr>
                <w:t>NAP</w:t>
              </w:r>
              <w:r w:rsidR="00433809" w:rsidRPr="00056701">
                <w:rPr>
                  <w:rStyle w:val="Hyperlink"/>
                  <w:b/>
                  <w:bCs/>
                </w:rPr>
                <w:t xml:space="preserve"> 2021-2015</w:t>
              </w:r>
              <w:r w:rsidR="00D03583" w:rsidRPr="00056701">
                <w:rPr>
                  <w:rStyle w:val="Hyperlink"/>
                  <w:b/>
                  <w:bCs/>
                </w:rPr>
                <w:t xml:space="preserve"> </w:t>
              </w:r>
              <w:r w:rsidR="00D03583" w:rsidRPr="00056701">
                <w:rPr>
                  <w:rStyle w:val="Hyperlink"/>
                </w:rPr>
                <w:t>(</w:t>
              </w:r>
              <w:r w:rsidR="00433809" w:rsidRPr="00056701">
                <w:rPr>
                  <w:rStyle w:val="Hyperlink"/>
                </w:rPr>
                <w:t>2021</w:t>
              </w:r>
              <w:r w:rsidR="00D03583" w:rsidRPr="00056701">
                <w:rPr>
                  <w:rStyle w:val="Hyperlink"/>
                </w:rPr>
                <w:t>)</w:t>
              </w:r>
            </w:hyperlink>
          </w:p>
          <w:p w14:paraId="4517B28F" w14:textId="0C34B4DE" w:rsidR="004949D6" w:rsidRPr="004949D6" w:rsidRDefault="004949D6" w:rsidP="00433809">
            <w:r w:rsidRPr="004949D6">
              <w:t xml:space="preserve">No </w:t>
            </w:r>
            <w:r>
              <w:t>precise objectives</w:t>
            </w:r>
          </w:p>
          <w:p w14:paraId="49AB1791" w14:textId="77777777" w:rsidR="003E15EA" w:rsidRDefault="003E15EA" w:rsidP="00433809">
            <w:pPr>
              <w:rPr>
                <w:b/>
                <w:bCs/>
              </w:rPr>
            </w:pPr>
          </w:p>
          <w:p w14:paraId="1155E93F" w14:textId="3CB456A8" w:rsidR="003E15EA" w:rsidRPr="00662CBC" w:rsidRDefault="003E15EA" w:rsidP="00433809"/>
        </w:tc>
      </w:tr>
      <w:tr w:rsidR="00CB5BD0" w:rsidRPr="00662CBC" w14:paraId="10FFA15A" w14:textId="77777777" w:rsidTr="00F37D6B">
        <w:tc>
          <w:tcPr>
            <w:tcW w:w="139" w:type="pct"/>
            <w:shd w:val="clear" w:color="auto" w:fill="auto"/>
          </w:tcPr>
          <w:p w14:paraId="1DF66F70"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121DF06F" w14:textId="77777777" w:rsidR="004116DF" w:rsidRPr="00662CBC" w:rsidRDefault="004116DF" w:rsidP="006064D6">
            <w:pPr>
              <w:pStyle w:val="Heading3"/>
            </w:pPr>
            <w:bookmarkStart w:id="38" w:name="_Toc132806721"/>
            <w:r w:rsidRPr="00662CBC">
              <w:t>North Macedonia</w:t>
            </w:r>
            <w:bookmarkEnd w:id="38"/>
          </w:p>
        </w:tc>
        <w:tc>
          <w:tcPr>
            <w:tcW w:w="855" w:type="pct"/>
            <w:shd w:val="clear" w:color="auto" w:fill="auto"/>
          </w:tcPr>
          <w:p w14:paraId="6FBCE81A" w14:textId="6F201B72" w:rsidR="004116DF" w:rsidRPr="0089432D" w:rsidRDefault="004056D6" w:rsidP="00026009">
            <w:r>
              <w:rPr>
                <w:b/>
                <w:bCs/>
              </w:rPr>
              <w:t>NDC</w:t>
            </w:r>
            <w:r w:rsidR="0089432D">
              <w:rPr>
                <w:b/>
                <w:bCs/>
              </w:rPr>
              <w:t xml:space="preserve"> 2021-2030</w:t>
            </w:r>
            <w:r w:rsidR="0089432D">
              <w:t xml:space="preserve">: </w:t>
            </w:r>
            <w:r w:rsidR="0089432D" w:rsidRPr="0089432D">
              <w:t>gender-sensitive, identifies women as stakeholders, beneficiaries, and vulnerable group.</w:t>
            </w:r>
            <w:r w:rsidR="0089432D">
              <w:rPr>
                <w:rStyle w:val="FootnoteReference"/>
              </w:rPr>
              <w:footnoteReference w:id="235"/>
            </w:r>
          </w:p>
        </w:tc>
        <w:tc>
          <w:tcPr>
            <w:tcW w:w="1023" w:type="pct"/>
            <w:shd w:val="clear" w:color="auto" w:fill="auto"/>
          </w:tcPr>
          <w:p w14:paraId="54B8A15C" w14:textId="77777777" w:rsidR="004116DF" w:rsidRDefault="00464061" w:rsidP="00026009">
            <w:r>
              <w:t>—</w:t>
            </w:r>
          </w:p>
          <w:p w14:paraId="35A3DE4E" w14:textId="61830C49" w:rsidR="00BF63A9" w:rsidRPr="00662CBC" w:rsidRDefault="00BF63A9" w:rsidP="00026009">
            <w:r>
              <w:t>“</w:t>
            </w:r>
            <w:r w:rsidRPr="00BF63A9">
              <w:t xml:space="preserve">There are no specific difficulties in relation to implementing positive action measures. There are difficulties in the sense of how few positive action measures have been prescribed under the law (mainly in relation to election quotas), or how different the priority in relation to positive action </w:t>
            </w:r>
            <w:r w:rsidRPr="00BF63A9">
              <w:lastRenderedPageBreak/>
              <w:t xml:space="preserve">is on other grounds compared to gender (such as ethnicity, for example, which has a high political and security significance for the country because of the 2001 ethnic conflict and the </w:t>
            </w:r>
            <w:proofErr w:type="spellStart"/>
            <w:r w:rsidRPr="00BF63A9">
              <w:t>Ohrid</w:t>
            </w:r>
            <w:proofErr w:type="spellEnd"/>
            <w:r w:rsidRPr="00BF63A9">
              <w:t xml:space="preserve"> Framework Agreement which ended that conflict). However, these do not stem from specific difficulties related to implementing positive action specifically on grounds of sex. Doubts as to the usefulness of the classification of the various measures under the </w:t>
            </w:r>
            <w:r>
              <w:t>[Gender Equality Law]</w:t>
            </w:r>
            <w:r w:rsidRPr="00BF63A9">
              <w:t xml:space="preserve"> persist.</w:t>
            </w:r>
            <w:r>
              <w:t>”</w:t>
            </w:r>
            <w:r>
              <w:rPr>
                <w:rStyle w:val="FootnoteReference"/>
              </w:rPr>
              <w:footnoteReference w:id="236"/>
            </w:r>
          </w:p>
        </w:tc>
        <w:tc>
          <w:tcPr>
            <w:tcW w:w="903" w:type="pct"/>
            <w:shd w:val="clear" w:color="auto" w:fill="auto"/>
          </w:tcPr>
          <w:p w14:paraId="7F88E8A8" w14:textId="3796059E" w:rsidR="004116DF" w:rsidRDefault="00464061" w:rsidP="00026009">
            <w:r>
              <w:lastRenderedPageBreak/>
              <w:t>—</w:t>
            </w:r>
          </w:p>
          <w:p w14:paraId="42527323" w14:textId="413FC5C9" w:rsidR="0095741A" w:rsidRDefault="0095741A" w:rsidP="0095741A">
            <w:pPr>
              <w:rPr>
                <w:b/>
                <w:bCs/>
              </w:rPr>
            </w:pPr>
            <w:r>
              <w:rPr>
                <w:b/>
                <w:bCs/>
              </w:rPr>
              <w:t>Note</w:t>
            </w:r>
            <w:r w:rsidRPr="00C50216">
              <w:t xml:space="preserve">: </w:t>
            </w:r>
            <w:r>
              <w:rPr>
                <w:b/>
                <w:bCs/>
              </w:rPr>
              <w:t>Suitable military facilities/uniforms for both sexes. Military equipment has not been adapted.</w:t>
            </w:r>
          </w:p>
          <w:p w14:paraId="7017E28C" w14:textId="77777777" w:rsidR="0095741A" w:rsidRPr="00F068FF" w:rsidRDefault="0095741A" w:rsidP="0095741A">
            <w:r>
              <w:t>“</w:t>
            </w:r>
            <w:r w:rsidRPr="00F068FF">
              <w:t xml:space="preserve">Military equipment has not been adapted for women or men. Military facilities are designed </w:t>
            </w:r>
            <w:r w:rsidRPr="00F068FF">
              <w:lastRenderedPageBreak/>
              <w:t>and adapted for both women and men. Separate service uniforms are available for women and men.</w:t>
            </w:r>
            <w:r>
              <w:t>”</w:t>
            </w:r>
            <w:r w:rsidRPr="00F068FF">
              <w:rPr>
                <w:rStyle w:val="FootnoteReference"/>
              </w:rPr>
              <w:t xml:space="preserve"> </w:t>
            </w:r>
            <w:r>
              <w:rPr>
                <w:rStyle w:val="FootnoteReference"/>
              </w:rPr>
              <w:footnoteReference w:id="237"/>
            </w:r>
          </w:p>
          <w:p w14:paraId="6A943172" w14:textId="77777777" w:rsidR="0095741A" w:rsidRPr="00662CBC" w:rsidRDefault="0095741A" w:rsidP="00026009"/>
        </w:tc>
        <w:tc>
          <w:tcPr>
            <w:tcW w:w="949" w:type="pct"/>
            <w:shd w:val="clear" w:color="auto" w:fill="auto"/>
          </w:tcPr>
          <w:p w14:paraId="20C3D485" w14:textId="77777777" w:rsidR="00921B85" w:rsidRDefault="00921B85" w:rsidP="00921B85">
            <w:r w:rsidRPr="00662CBC">
              <w:rPr>
                <w:b/>
                <w:bCs/>
              </w:rPr>
              <w:lastRenderedPageBreak/>
              <w:t>No mandatory military service.</w:t>
            </w:r>
          </w:p>
          <w:p w14:paraId="44A1765D" w14:textId="4800251B" w:rsidR="004116DF" w:rsidRPr="00662CBC" w:rsidRDefault="00921B85" w:rsidP="00921B85">
            <w:r>
              <w:t>“</w:t>
            </w:r>
            <w:r w:rsidRPr="00921B85">
              <w:t>18 years of age for voluntary military service; conscription abolished in 2007 (2023)</w:t>
            </w:r>
            <w:r w:rsidRPr="00921B85">
              <w:br/>
            </w:r>
            <w:r w:rsidRPr="00921B85">
              <w:rPr>
                <w:b/>
                <w:bCs/>
              </w:rPr>
              <w:t>note:</w:t>
            </w:r>
            <w:r w:rsidRPr="00921B85">
              <w:t xml:space="preserve"> as of 2023, women made up </w:t>
            </w:r>
            <w:r w:rsidRPr="00921B85">
              <w:lastRenderedPageBreak/>
              <w:t>about 10.6% of the military's full-time personnel</w:t>
            </w:r>
            <w:r>
              <w:t>”</w:t>
            </w:r>
            <w:r w:rsidR="004116DF" w:rsidRPr="005D2F5A">
              <w:rPr>
                <w:rStyle w:val="FootnoteReference"/>
              </w:rPr>
              <w:footnoteReference w:id="238"/>
            </w:r>
          </w:p>
        </w:tc>
        <w:tc>
          <w:tcPr>
            <w:tcW w:w="677" w:type="pct"/>
            <w:shd w:val="clear" w:color="auto" w:fill="auto"/>
          </w:tcPr>
          <w:p w14:paraId="6878D011" w14:textId="20D30A72" w:rsidR="004116DF" w:rsidRDefault="00000000" w:rsidP="00026009">
            <w:pPr>
              <w:rPr>
                <w:b/>
                <w:bCs/>
              </w:rPr>
            </w:pPr>
            <w:hyperlink r:id="rId94" w:history="1">
              <w:r w:rsidR="006A6897" w:rsidRPr="00D25383">
                <w:rPr>
                  <w:rStyle w:val="Hyperlink"/>
                  <w:b/>
                  <w:bCs/>
                </w:rPr>
                <w:t>NAP</w:t>
              </w:r>
              <w:r w:rsidR="00D25383" w:rsidRPr="00D25383">
                <w:rPr>
                  <w:rStyle w:val="Hyperlink"/>
                  <w:b/>
                  <w:bCs/>
                </w:rPr>
                <w:t xml:space="preserve"> 2013-2015</w:t>
              </w:r>
              <w:r w:rsidR="0084008E" w:rsidRPr="00D25383">
                <w:rPr>
                  <w:rStyle w:val="Hyperlink"/>
                  <w:b/>
                  <w:bCs/>
                </w:rPr>
                <w:t xml:space="preserve"> </w:t>
              </w:r>
              <w:r w:rsidR="0084008E" w:rsidRPr="00D25383">
                <w:rPr>
                  <w:rStyle w:val="Hyperlink"/>
                </w:rPr>
                <w:t>(2012)</w:t>
              </w:r>
            </w:hyperlink>
          </w:p>
          <w:p w14:paraId="6F90E746" w14:textId="1C1D51A0" w:rsidR="00D25383" w:rsidRDefault="00D25383" w:rsidP="00D25383">
            <w:pPr>
              <w:pStyle w:val="ListParagraph"/>
              <w:numPr>
                <w:ilvl w:val="0"/>
                <w:numId w:val="21"/>
              </w:numPr>
            </w:pPr>
            <w:r>
              <w:t>Dominan</w:t>
            </w:r>
            <w:r w:rsidR="00E77C08">
              <w:t>t focus: Participation</w:t>
            </w:r>
            <w:r w:rsidR="00207184">
              <w:rPr>
                <w:rStyle w:val="FootnoteReference"/>
              </w:rPr>
              <w:footnoteReference w:id="239"/>
            </w:r>
          </w:p>
          <w:p w14:paraId="26AA9624" w14:textId="551E0F73" w:rsidR="00207184" w:rsidRDefault="002471F7" w:rsidP="00D25383">
            <w:pPr>
              <w:pStyle w:val="ListParagraph"/>
              <w:numPr>
                <w:ilvl w:val="0"/>
                <w:numId w:val="21"/>
              </w:numPr>
            </w:pPr>
            <w:r>
              <w:t xml:space="preserve">No precise objectives </w:t>
            </w:r>
          </w:p>
          <w:p w14:paraId="5239DDD2" w14:textId="38D9B416" w:rsidR="00381659" w:rsidRPr="0084008E" w:rsidRDefault="00381659" w:rsidP="00026009"/>
        </w:tc>
      </w:tr>
      <w:tr w:rsidR="00CB5BD0" w:rsidRPr="00662CBC" w14:paraId="1D46AD67" w14:textId="77777777" w:rsidTr="00F37D6B">
        <w:tc>
          <w:tcPr>
            <w:tcW w:w="139" w:type="pct"/>
            <w:shd w:val="clear" w:color="auto" w:fill="auto"/>
          </w:tcPr>
          <w:p w14:paraId="39DDA7ED"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07800BB6" w14:textId="77777777" w:rsidR="004116DF" w:rsidRPr="00662CBC" w:rsidRDefault="004116DF" w:rsidP="006064D6">
            <w:pPr>
              <w:pStyle w:val="Heading3"/>
            </w:pPr>
            <w:bookmarkStart w:id="39" w:name="_Toc132806722"/>
            <w:r w:rsidRPr="00662CBC">
              <w:t>Norway</w:t>
            </w:r>
            <w:bookmarkEnd w:id="39"/>
          </w:p>
          <w:p w14:paraId="564E0C13" w14:textId="77777777" w:rsidR="004116DF" w:rsidRPr="00662CBC" w:rsidRDefault="004116DF" w:rsidP="006064D6">
            <w:pPr>
              <w:rPr>
                <w:b/>
                <w:bCs/>
                <w:szCs w:val="20"/>
              </w:rPr>
            </w:pPr>
          </w:p>
        </w:tc>
        <w:tc>
          <w:tcPr>
            <w:tcW w:w="855" w:type="pct"/>
            <w:shd w:val="clear" w:color="auto" w:fill="auto"/>
          </w:tcPr>
          <w:p w14:paraId="6D40DEC6" w14:textId="3DAFEA05" w:rsidR="004116DF" w:rsidRPr="001A311E" w:rsidRDefault="001A311E" w:rsidP="00026009">
            <w:r>
              <w:rPr>
                <w:b/>
                <w:bCs/>
              </w:rPr>
              <w:t xml:space="preserve">NDC </w:t>
            </w:r>
            <w:r>
              <w:t>is gender-</w:t>
            </w:r>
            <w:r w:rsidR="0068132B">
              <w:t>sensitive</w:t>
            </w:r>
            <w:r>
              <w:rPr>
                <w:rStyle w:val="FootnoteReference"/>
              </w:rPr>
              <w:footnoteReference w:id="240"/>
            </w:r>
          </w:p>
        </w:tc>
        <w:tc>
          <w:tcPr>
            <w:tcW w:w="1023" w:type="pct"/>
            <w:shd w:val="clear" w:color="auto" w:fill="auto"/>
          </w:tcPr>
          <w:p w14:paraId="18639901" w14:textId="42B93FE2" w:rsidR="00A16600" w:rsidRDefault="001531C3" w:rsidP="00026009">
            <w:r>
              <w:t>—</w:t>
            </w:r>
          </w:p>
          <w:p w14:paraId="27C27D99" w14:textId="77777777" w:rsidR="00EA64F5" w:rsidRDefault="00EA64F5" w:rsidP="00EA64F5">
            <w:pPr>
              <w:rPr>
                <w:szCs w:val="20"/>
              </w:rPr>
            </w:pPr>
            <w:r w:rsidRPr="00F61A24">
              <w:rPr>
                <w:b/>
                <w:bCs/>
                <w:szCs w:val="20"/>
              </w:rPr>
              <w:t xml:space="preserve">CEDAW Concluding Observations </w:t>
            </w:r>
            <w:r w:rsidRPr="00F61A24">
              <w:rPr>
                <w:szCs w:val="20"/>
              </w:rPr>
              <w:t>(2017):</w:t>
            </w:r>
          </w:p>
          <w:p w14:paraId="0580F2E1" w14:textId="2CC14B91" w:rsidR="009F1E2D" w:rsidRDefault="009F1E2D" w:rsidP="00026009">
            <w:r>
              <w:t>“</w:t>
            </w:r>
            <w:r w:rsidRPr="009F1E2D">
              <w:t>30. The Committee welcomes [...] the fact that the State party has almost reached gender equality at the ambassadorial level.</w:t>
            </w:r>
            <w:r>
              <w:t>”</w:t>
            </w:r>
            <w:r w:rsidR="005E704A" w:rsidRPr="00AA03E7">
              <w:rPr>
                <w:rStyle w:val="FootnoteReference"/>
              </w:rPr>
              <w:t xml:space="preserve"> </w:t>
            </w:r>
            <w:r w:rsidR="005E704A" w:rsidRPr="00AA03E7">
              <w:rPr>
                <w:rStyle w:val="FootnoteReference"/>
              </w:rPr>
              <w:footnoteReference w:id="241"/>
            </w:r>
          </w:p>
          <w:p w14:paraId="1A807FCB" w14:textId="3098A26B" w:rsidR="004116DF" w:rsidRPr="00662CBC" w:rsidRDefault="004116DF" w:rsidP="00026009">
            <w:pPr>
              <w:rPr>
                <w:b/>
                <w:bCs/>
              </w:rPr>
            </w:pPr>
          </w:p>
        </w:tc>
        <w:tc>
          <w:tcPr>
            <w:tcW w:w="903" w:type="pct"/>
            <w:shd w:val="clear" w:color="auto" w:fill="auto"/>
          </w:tcPr>
          <w:p w14:paraId="3D6AACE0" w14:textId="2289F75C" w:rsidR="00B00F75" w:rsidRDefault="00D05A31" w:rsidP="00026009">
            <w:r>
              <w:lastRenderedPageBreak/>
              <w:t>—</w:t>
            </w:r>
          </w:p>
          <w:p w14:paraId="14AE373A" w14:textId="7A769545" w:rsidR="00007233" w:rsidRPr="00007233" w:rsidRDefault="001140A6" w:rsidP="00026009">
            <w:r>
              <w:rPr>
                <w:b/>
                <w:bCs/>
              </w:rPr>
              <w:t xml:space="preserve">Note 1: </w:t>
            </w:r>
            <w:r w:rsidR="00007233">
              <w:rPr>
                <w:b/>
                <w:bCs/>
              </w:rPr>
              <w:t>Current number of women serving</w:t>
            </w:r>
            <w:r w:rsidR="00007233">
              <w:t>:</w:t>
            </w:r>
          </w:p>
          <w:p w14:paraId="354651DE" w14:textId="77777777" w:rsidR="00B00F75" w:rsidRDefault="00B00F75" w:rsidP="00026009">
            <w:r>
              <w:t xml:space="preserve">“The introduction of universal conscription in Norway from 1 January 2015 has resulted in a higher proportion of women among conscripts than before. In </w:t>
            </w:r>
            <w:r>
              <w:lastRenderedPageBreak/>
              <w:t xml:space="preserve">2017, the percentage was around 25 per cent. In the long term, the Armed Forces wish to </w:t>
            </w:r>
            <w:proofErr w:type="spellStart"/>
            <w:r>
              <w:t>utilise</w:t>
            </w:r>
            <w:proofErr w:type="spellEnd"/>
            <w:r>
              <w:t xml:space="preserve"> universal conscription to recruit more women to different categories of jobs, </w:t>
            </w:r>
            <w:proofErr w:type="gramStart"/>
            <w:r>
              <w:t>units</w:t>
            </w:r>
            <w:proofErr w:type="gramEnd"/>
            <w:r>
              <w:t xml:space="preserve"> and </w:t>
            </w:r>
            <w:proofErr w:type="spellStart"/>
            <w:r>
              <w:t>specialised</w:t>
            </w:r>
            <w:proofErr w:type="spellEnd"/>
            <w:r>
              <w:t xml:space="preserve"> roles. </w:t>
            </w:r>
          </w:p>
          <w:p w14:paraId="37CDEC65" w14:textId="77777777" w:rsidR="008B637B" w:rsidRDefault="00B00F75" w:rsidP="00026009">
            <w:r>
              <w:t>Almost half of Norwegian police personnel are women. The proportion of women students admitted to the Norwegian Police University College in 2018 was 46 per cent. At the beginning of 2018, 32 per cent of leaders in the Norwegian police service were women.</w:t>
            </w:r>
          </w:p>
          <w:p w14:paraId="23966286" w14:textId="77777777" w:rsidR="008B637B" w:rsidRDefault="008B637B" w:rsidP="00026009">
            <w:r>
              <w:t xml:space="preserve">Women are therefore well represented in the Norwegian police, and the recruitment of women to the profession is high. This also makes it possible to have a high proportion of women in our contributions to international missions. Job security in Norway and good arrangements for leaves of absence make it possible for both women and men to take part. </w:t>
            </w:r>
          </w:p>
          <w:p w14:paraId="6D70D827" w14:textId="77777777" w:rsidR="008B637B" w:rsidRDefault="008B637B" w:rsidP="00026009">
            <w:r>
              <w:t xml:space="preserve">In 2016–2017, around 35 per cent of police personnel and 10 per cent of military personnel Norway deployed internationally were women. </w:t>
            </w:r>
          </w:p>
          <w:p w14:paraId="442268A5" w14:textId="77777777" w:rsidR="00B00F75" w:rsidRDefault="008B637B" w:rsidP="00026009">
            <w:r>
              <w:lastRenderedPageBreak/>
              <w:t>Norwegian women who attain leading positions in the police and Armed Forces can also be nominated for leading positions in international operations, including UN and NATO operations. The recruitment of women and women leaders is therefore important both in our national efforts and if Norway is to contribute to improving the gender balance at all levels of international operations.</w:t>
            </w:r>
            <w:r w:rsidR="00B00F75">
              <w:t>”</w:t>
            </w:r>
            <w:r w:rsidR="00B00F75">
              <w:rPr>
                <w:rStyle w:val="FootnoteReference"/>
              </w:rPr>
              <w:footnoteReference w:id="242"/>
            </w:r>
          </w:p>
          <w:p w14:paraId="0AE76864" w14:textId="77777777" w:rsidR="001140A6" w:rsidRDefault="001140A6" w:rsidP="00026009"/>
          <w:p w14:paraId="18E8399F" w14:textId="071D64F7" w:rsidR="001140A6" w:rsidRDefault="001140A6" w:rsidP="001140A6">
            <w:pPr>
              <w:rPr>
                <w:b/>
                <w:bCs/>
              </w:rPr>
            </w:pPr>
            <w:r>
              <w:rPr>
                <w:b/>
                <w:bCs/>
              </w:rPr>
              <w:t>Note 2</w:t>
            </w:r>
            <w:r w:rsidRPr="00C50216">
              <w:t xml:space="preserve">: </w:t>
            </w:r>
            <w:r>
              <w:rPr>
                <w:b/>
                <w:bCs/>
              </w:rPr>
              <w:t>Suitable military equipment/facilities/uniforms for both sexes.</w:t>
            </w:r>
          </w:p>
          <w:p w14:paraId="1FF7581D" w14:textId="77777777" w:rsidR="001140A6" w:rsidRDefault="001140A6" w:rsidP="001140A6">
            <w:r>
              <w:t>“</w:t>
            </w:r>
            <w:r w:rsidRPr="00F07275">
              <w:t>Women and men service personnel enjoy separate sanitary facilities and can choose between same-sex or mixed living quarters. Combat uniforms are adapted for both women and men to some degree. Service uniforms are fitted for women and men. There are complete and specific service uniforms for women and men.</w:t>
            </w:r>
            <w:r>
              <w:t>”</w:t>
            </w:r>
            <w:r w:rsidRPr="00F07275">
              <w:rPr>
                <w:rStyle w:val="FootnoteReference"/>
              </w:rPr>
              <w:t xml:space="preserve"> </w:t>
            </w:r>
            <w:r>
              <w:rPr>
                <w:rStyle w:val="FootnoteReference"/>
              </w:rPr>
              <w:footnoteReference w:id="243"/>
            </w:r>
          </w:p>
          <w:p w14:paraId="4EB34B4A" w14:textId="6EFC11B8" w:rsidR="001140A6" w:rsidRPr="00662CBC" w:rsidRDefault="001140A6" w:rsidP="00026009"/>
        </w:tc>
        <w:tc>
          <w:tcPr>
            <w:tcW w:w="949" w:type="pct"/>
            <w:shd w:val="clear" w:color="auto" w:fill="auto"/>
          </w:tcPr>
          <w:p w14:paraId="347C0E86" w14:textId="1AB29082" w:rsidR="00921B85" w:rsidRDefault="00921B85" w:rsidP="00921B85">
            <w:r>
              <w:rPr>
                <w:b/>
                <w:bCs/>
              </w:rPr>
              <w:lastRenderedPageBreak/>
              <w:t>Mandatory military service for both women and men</w:t>
            </w:r>
            <w:r w:rsidRPr="00921B85">
              <w:t>:</w:t>
            </w:r>
          </w:p>
          <w:p w14:paraId="3785F324" w14:textId="6C4FFFCE" w:rsidR="00D573CF" w:rsidRDefault="00D573CF" w:rsidP="00D573CF">
            <w:r w:rsidRPr="00D573CF">
              <w:t xml:space="preserve">“19-35 years of age for selective compulsory military service for men and women; 17 years of age for male volunteers; 18 years of age for women volunteers; 12-19 month service obligation; conscripts first serve 12 months </w:t>
            </w:r>
            <w:r w:rsidRPr="00D573CF">
              <w:lastRenderedPageBreak/>
              <w:t>between the ages of 19 and 28, and then up to 4-5 refresher training periods until age 35, 44, 55, or 60 depending on rank and function (2023)</w:t>
            </w:r>
            <w:r w:rsidRPr="00D573CF">
              <w:br/>
            </w:r>
            <w:r w:rsidRPr="00D573CF">
              <w:rPr>
                <w:b/>
                <w:bCs/>
              </w:rPr>
              <w:t>note 1: </w:t>
            </w:r>
            <w:r w:rsidRPr="00D573CF">
              <w:t>Norway conscripts about 8,000 individuals annually; it has had compulsory military service since 1907</w:t>
            </w:r>
            <w:r>
              <w:t>.</w:t>
            </w:r>
          </w:p>
          <w:p w14:paraId="4C6D68AD" w14:textId="1C559CC7" w:rsidR="00D573CF" w:rsidRDefault="00D573CF" w:rsidP="00D573CF">
            <w:r w:rsidRPr="00D573CF">
              <w:rPr>
                <w:b/>
                <w:bCs/>
              </w:rPr>
              <w:t>note 2:</w:t>
            </w:r>
            <w:r w:rsidRPr="00D573CF">
              <w:t xml:space="preserve"> Norway was the first NATO country to allow women to serve in all combat arms branches of the military (1985); it also has an all-female special operations unit known as </w:t>
            </w:r>
            <w:proofErr w:type="spellStart"/>
            <w:r w:rsidRPr="00D573CF">
              <w:t>Jegertroppen</w:t>
            </w:r>
            <w:proofErr w:type="spellEnd"/>
            <w:r w:rsidRPr="00D573CF">
              <w:t xml:space="preserve"> (The Hunter Troop), which was established in 2014; as of 2021, women comprised about 20% of the military's full-time personnel</w:t>
            </w:r>
            <w:r>
              <w:t>.</w:t>
            </w:r>
          </w:p>
          <w:p w14:paraId="4ED986BD" w14:textId="5475F60E" w:rsidR="004116DF" w:rsidRPr="00662CBC" w:rsidRDefault="00D573CF" w:rsidP="00D573CF">
            <w:r w:rsidRPr="00D573CF">
              <w:rPr>
                <w:b/>
                <w:bCs/>
              </w:rPr>
              <w:t>note 3:</w:t>
            </w:r>
            <w:r w:rsidRPr="00D573CF">
              <w:t xml:space="preserve"> beginning in 1995, the military began offering Icelandic citizens the opportunity to apply for admission to officer schools in Norway with an associated education and service contract under special reasons and based on recommendations from Icelandic authorities; as early as 1996, Norway and Iceland entered into a cooperation agreement on the voluntary participation of Icelandic </w:t>
            </w:r>
            <w:r w:rsidRPr="00D573CF">
              <w:lastRenderedPageBreak/>
              <w:t>personnel in Norwegian force contributions in foreign operations.”</w:t>
            </w:r>
            <w:r w:rsidR="004116DF" w:rsidRPr="005D2F5A">
              <w:rPr>
                <w:rStyle w:val="FootnoteReference"/>
              </w:rPr>
              <w:footnoteReference w:id="244"/>
            </w:r>
          </w:p>
        </w:tc>
        <w:tc>
          <w:tcPr>
            <w:tcW w:w="677" w:type="pct"/>
            <w:shd w:val="clear" w:color="auto" w:fill="auto"/>
          </w:tcPr>
          <w:p w14:paraId="2A2C7F47" w14:textId="3D69335A" w:rsidR="004116DF" w:rsidRDefault="00000000" w:rsidP="00026009">
            <w:hyperlink r:id="rId95" w:history="1">
              <w:r w:rsidR="006A6897" w:rsidRPr="0074351A">
                <w:rPr>
                  <w:rStyle w:val="Hyperlink"/>
                  <w:b/>
                  <w:bCs/>
                </w:rPr>
                <w:t>NAP</w:t>
              </w:r>
              <w:r w:rsidR="0084008E" w:rsidRPr="0074351A">
                <w:rPr>
                  <w:rStyle w:val="Hyperlink"/>
                  <w:b/>
                  <w:bCs/>
                </w:rPr>
                <w:t xml:space="preserve"> </w:t>
              </w:r>
              <w:r w:rsidR="0084008E" w:rsidRPr="0074351A">
                <w:rPr>
                  <w:rStyle w:val="Hyperlink"/>
                </w:rPr>
                <w:t>(</w:t>
              </w:r>
              <w:r w:rsidR="0074351A" w:rsidRPr="0074351A">
                <w:rPr>
                  <w:rStyle w:val="Hyperlink"/>
                </w:rPr>
                <w:t>2006</w:t>
              </w:r>
              <w:r w:rsidR="0084008E" w:rsidRPr="0074351A">
                <w:rPr>
                  <w:rStyle w:val="Hyperlink"/>
                </w:rPr>
                <w:t>)</w:t>
              </w:r>
            </w:hyperlink>
          </w:p>
          <w:p w14:paraId="478676F9" w14:textId="60BDC2A0" w:rsidR="002471F7" w:rsidRDefault="00000000" w:rsidP="00026009">
            <w:hyperlink r:id="rId96" w:history="1">
              <w:r w:rsidR="002471F7" w:rsidRPr="00A60C93">
                <w:rPr>
                  <w:rStyle w:val="Hyperlink"/>
                  <w:b/>
                  <w:bCs/>
                </w:rPr>
                <w:t>NAP</w:t>
              </w:r>
              <w:r w:rsidR="00D10F26" w:rsidRPr="00A60C93">
                <w:rPr>
                  <w:rStyle w:val="Hyperlink"/>
                  <w:b/>
                  <w:bCs/>
                </w:rPr>
                <w:t xml:space="preserve"> 2011-20</w:t>
              </w:r>
              <w:r w:rsidR="00A60C93" w:rsidRPr="00A60C93">
                <w:rPr>
                  <w:rStyle w:val="Hyperlink"/>
                  <w:b/>
                  <w:bCs/>
                </w:rPr>
                <w:t>13</w:t>
              </w:r>
              <w:r w:rsidR="002471F7" w:rsidRPr="00A60C93">
                <w:rPr>
                  <w:rStyle w:val="Hyperlink"/>
                  <w:b/>
                  <w:bCs/>
                </w:rPr>
                <w:t xml:space="preserve"> </w:t>
              </w:r>
              <w:r w:rsidR="002471F7" w:rsidRPr="00A60C93">
                <w:rPr>
                  <w:rStyle w:val="Hyperlink"/>
                </w:rPr>
                <w:t>(</w:t>
              </w:r>
              <w:r w:rsidR="00A60C93" w:rsidRPr="00A60C93">
                <w:rPr>
                  <w:rStyle w:val="Hyperlink"/>
                </w:rPr>
                <w:t>2011</w:t>
              </w:r>
              <w:r w:rsidR="002471F7" w:rsidRPr="00A60C93">
                <w:rPr>
                  <w:rStyle w:val="Hyperlink"/>
                </w:rPr>
                <w:t>)</w:t>
              </w:r>
            </w:hyperlink>
          </w:p>
          <w:p w14:paraId="19DFCC06" w14:textId="762F3999" w:rsidR="002471F7" w:rsidRDefault="00000000" w:rsidP="00026009">
            <w:hyperlink r:id="rId97" w:history="1">
              <w:r w:rsidR="002471F7" w:rsidRPr="00D10F26">
                <w:rPr>
                  <w:rStyle w:val="Hyperlink"/>
                  <w:b/>
                  <w:bCs/>
                </w:rPr>
                <w:t>NAP</w:t>
              </w:r>
              <w:r w:rsidR="00D10F26" w:rsidRPr="00D10F26">
                <w:rPr>
                  <w:rStyle w:val="Hyperlink"/>
                  <w:b/>
                  <w:bCs/>
                </w:rPr>
                <w:t xml:space="preserve"> 2015-2018</w:t>
              </w:r>
              <w:r w:rsidR="002471F7" w:rsidRPr="00D10F26">
                <w:rPr>
                  <w:rStyle w:val="Hyperlink"/>
                  <w:b/>
                  <w:bCs/>
                </w:rPr>
                <w:t xml:space="preserve"> </w:t>
              </w:r>
              <w:r w:rsidR="002471F7" w:rsidRPr="00D10F26">
                <w:rPr>
                  <w:rStyle w:val="Hyperlink"/>
                </w:rPr>
                <w:t>(</w:t>
              </w:r>
              <w:r w:rsidR="00D10F26" w:rsidRPr="00D10F26">
                <w:rPr>
                  <w:rStyle w:val="Hyperlink"/>
                </w:rPr>
                <w:t>2015</w:t>
              </w:r>
              <w:r w:rsidR="002471F7" w:rsidRPr="00D10F26">
                <w:rPr>
                  <w:rStyle w:val="Hyperlink"/>
                </w:rPr>
                <w:t>)</w:t>
              </w:r>
            </w:hyperlink>
          </w:p>
          <w:p w14:paraId="3EE4574F" w14:textId="77777777" w:rsidR="002471F7" w:rsidRDefault="00000000" w:rsidP="00026009">
            <w:pPr>
              <w:rPr>
                <w:b/>
                <w:bCs/>
              </w:rPr>
            </w:pPr>
            <w:hyperlink r:id="rId98" w:history="1">
              <w:r w:rsidR="002471F7" w:rsidRPr="00D10F26">
                <w:rPr>
                  <w:rStyle w:val="Hyperlink"/>
                  <w:b/>
                  <w:bCs/>
                </w:rPr>
                <w:t>NAP</w:t>
              </w:r>
              <w:r w:rsidR="00D10F26" w:rsidRPr="00D10F26">
                <w:rPr>
                  <w:rStyle w:val="Hyperlink"/>
                  <w:b/>
                  <w:bCs/>
                </w:rPr>
                <w:t xml:space="preserve"> 2019-2022</w:t>
              </w:r>
              <w:r w:rsidR="002471F7" w:rsidRPr="00D10F26">
                <w:rPr>
                  <w:rStyle w:val="Hyperlink"/>
                  <w:b/>
                  <w:bCs/>
                </w:rPr>
                <w:t xml:space="preserve"> </w:t>
              </w:r>
              <w:r w:rsidR="002471F7" w:rsidRPr="00D10F26">
                <w:rPr>
                  <w:rStyle w:val="Hyperlink"/>
                </w:rPr>
                <w:t>(</w:t>
              </w:r>
              <w:r w:rsidR="00D10F26" w:rsidRPr="00D10F26">
                <w:rPr>
                  <w:rStyle w:val="Hyperlink"/>
                </w:rPr>
                <w:t>2019</w:t>
              </w:r>
              <w:r w:rsidR="002471F7" w:rsidRPr="00D10F26">
                <w:rPr>
                  <w:rStyle w:val="Hyperlink"/>
                </w:rPr>
                <w:t>)</w:t>
              </w:r>
            </w:hyperlink>
          </w:p>
          <w:p w14:paraId="3050291C" w14:textId="77777777" w:rsidR="00C558BE" w:rsidRDefault="00C558BE" w:rsidP="00C558BE">
            <w:pPr>
              <w:pStyle w:val="ListParagraph"/>
              <w:numPr>
                <w:ilvl w:val="0"/>
                <w:numId w:val="21"/>
              </w:numPr>
            </w:pPr>
            <w:r>
              <w:t xml:space="preserve">Dominant focus: Participation </w:t>
            </w:r>
            <w:r>
              <w:rPr>
                <w:rStyle w:val="FootnoteReference"/>
              </w:rPr>
              <w:footnoteReference w:id="245"/>
            </w:r>
          </w:p>
          <w:p w14:paraId="6DF96A46" w14:textId="203F9E7D" w:rsidR="00C558BE" w:rsidRPr="0022293A" w:rsidRDefault="001522B3" w:rsidP="00C558BE">
            <w:pPr>
              <w:pStyle w:val="ListParagraph"/>
              <w:numPr>
                <w:ilvl w:val="0"/>
                <w:numId w:val="21"/>
              </w:numPr>
            </w:pPr>
            <w:r>
              <w:t xml:space="preserve">No concrete </w:t>
            </w:r>
            <w:r w:rsidR="00924F18">
              <w:t xml:space="preserve">goals </w:t>
            </w:r>
          </w:p>
          <w:p w14:paraId="4F5C26BB" w14:textId="7B1EF7F1" w:rsidR="00A60C93" w:rsidRPr="0084008E" w:rsidRDefault="00A60C93" w:rsidP="00026009"/>
        </w:tc>
      </w:tr>
      <w:tr w:rsidR="00CB5BD0" w:rsidRPr="00662CBC" w14:paraId="65DA6D2B" w14:textId="77777777" w:rsidTr="00F37D6B">
        <w:trPr>
          <w:trHeight w:val="2442"/>
        </w:trPr>
        <w:tc>
          <w:tcPr>
            <w:tcW w:w="139" w:type="pct"/>
            <w:shd w:val="clear" w:color="auto" w:fill="auto"/>
          </w:tcPr>
          <w:p w14:paraId="3B76F740"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5DF819E1" w14:textId="77777777" w:rsidR="004116DF" w:rsidRPr="00662CBC" w:rsidRDefault="004116DF" w:rsidP="006064D6">
            <w:pPr>
              <w:pStyle w:val="Heading3"/>
            </w:pPr>
            <w:bookmarkStart w:id="40" w:name="_Toc132806723"/>
            <w:r w:rsidRPr="00662CBC">
              <w:t>Poland</w:t>
            </w:r>
            <w:bookmarkEnd w:id="40"/>
            <w:r w:rsidRPr="00662CBC">
              <w:t xml:space="preserve"> </w:t>
            </w:r>
          </w:p>
          <w:p w14:paraId="1205BF75" w14:textId="77777777" w:rsidR="004116DF" w:rsidRPr="00662CBC" w:rsidRDefault="004116DF" w:rsidP="006064D6">
            <w:pPr>
              <w:rPr>
                <w:b/>
                <w:bCs/>
                <w:szCs w:val="20"/>
              </w:rPr>
            </w:pPr>
          </w:p>
        </w:tc>
        <w:tc>
          <w:tcPr>
            <w:tcW w:w="855" w:type="pct"/>
            <w:shd w:val="clear" w:color="auto" w:fill="auto"/>
          </w:tcPr>
          <w:p w14:paraId="1A49ACFA" w14:textId="258958DA" w:rsidR="004116DF" w:rsidRPr="00662CBC" w:rsidRDefault="004116DF" w:rsidP="00026009">
            <w:r w:rsidRPr="00662CBC">
              <w:t>s. NDC submitted by EU</w:t>
            </w:r>
          </w:p>
        </w:tc>
        <w:tc>
          <w:tcPr>
            <w:tcW w:w="1023" w:type="pct"/>
            <w:shd w:val="clear" w:color="auto" w:fill="auto"/>
          </w:tcPr>
          <w:p w14:paraId="135E2216" w14:textId="63046CCC" w:rsidR="006C11F3" w:rsidRPr="006C11F3" w:rsidRDefault="0045145F" w:rsidP="00161C52">
            <w:pPr>
              <w:rPr>
                <w:b/>
                <w:bCs/>
              </w:rPr>
            </w:pPr>
            <w:r w:rsidRPr="0045145F">
              <w:rPr>
                <w:b/>
                <w:bCs/>
              </w:rPr>
              <w:t>No legislated quota</w:t>
            </w:r>
            <w:r>
              <w:rPr>
                <w:b/>
                <w:bCs/>
              </w:rPr>
              <w:t xml:space="preserve"> </w:t>
            </w:r>
          </w:p>
          <w:p w14:paraId="4D77BCB8" w14:textId="77777777" w:rsidR="00161C52" w:rsidRDefault="00161C52" w:rsidP="00161C52">
            <w:r w:rsidRPr="00682A67">
              <w:rPr>
                <w:b/>
                <w:bCs/>
              </w:rPr>
              <w:t>CEDAW Follow-up letter sent to the State party (2018)</w:t>
            </w:r>
            <w:r>
              <w:t>:</w:t>
            </w:r>
          </w:p>
          <w:p w14:paraId="058FC952" w14:textId="77777777" w:rsidR="00161C52" w:rsidRPr="00F07275" w:rsidRDefault="00161C52" w:rsidP="00161C52">
            <w:r>
              <w:t>“</w:t>
            </w:r>
            <w:r w:rsidRPr="00682A67">
              <w:t>Stressing that the introduction of evaluations in the civil service is no gender-specific measure and can thus not qualify as a temporary special measure, the Committee regrets the absence of measures taken to introduce quotas and benchmarks to achieve equal and full participation of women in the judiciary, executive functions at all levels and in international organizations during the reporting period. The Committee considers that the State party has taken some steps to implement the recommendation. It considers that the recommendation</w:t>
            </w:r>
            <w:r w:rsidRPr="00682A67">
              <w:rPr>
                <w:b/>
                <w:bCs/>
              </w:rPr>
              <w:t xml:space="preserve"> has been partially implemented.</w:t>
            </w:r>
            <w:r w:rsidRPr="00682A67">
              <w:t>”</w:t>
            </w:r>
            <w:r>
              <w:rPr>
                <w:rStyle w:val="FootnoteReference"/>
              </w:rPr>
              <w:footnoteReference w:id="246"/>
            </w:r>
          </w:p>
          <w:p w14:paraId="57FCEEC7" w14:textId="1AA72BD8" w:rsidR="00161C52" w:rsidRPr="00662CBC" w:rsidRDefault="00161C52" w:rsidP="00026009"/>
        </w:tc>
        <w:tc>
          <w:tcPr>
            <w:tcW w:w="903" w:type="pct"/>
            <w:shd w:val="clear" w:color="auto" w:fill="auto"/>
          </w:tcPr>
          <w:p w14:paraId="169C8172" w14:textId="79B80F48" w:rsidR="006C11F3" w:rsidRDefault="0045145F" w:rsidP="00026009">
            <w:r w:rsidRPr="0045145F">
              <w:rPr>
                <w:b/>
                <w:bCs/>
              </w:rPr>
              <w:t>No legislated quota</w:t>
            </w:r>
            <w:r>
              <w:rPr>
                <w:b/>
                <w:bCs/>
              </w:rPr>
              <w:t xml:space="preserve"> </w:t>
            </w:r>
          </w:p>
          <w:p w14:paraId="0D1EB840" w14:textId="77777777" w:rsidR="006C11F3" w:rsidRDefault="006C11F3" w:rsidP="006C11F3">
            <w:r w:rsidRPr="00682A67">
              <w:rPr>
                <w:b/>
                <w:bCs/>
              </w:rPr>
              <w:t>CEDAW Follow-up letter sent to the State party (2018)</w:t>
            </w:r>
            <w:r>
              <w:t>:</w:t>
            </w:r>
          </w:p>
          <w:p w14:paraId="6E8F2DD0" w14:textId="77777777" w:rsidR="006C11F3" w:rsidRDefault="006C11F3" w:rsidP="006C11F3">
            <w:r w:rsidRPr="00682A67">
              <w:t>"The Committee welcomes initiatives to introduce gender-specific selection criteria for recruitment into the Border Guard and the Army, allowing for a better representation of women in these spheres. It further welcomes the conduct of trainings to ensure women’s participation in local government, in higher ranks of the military, as well as trainings on equal treatment for staff of diplomatic missions, the police, border guards and in the Government Protection Bureau."</w:t>
            </w:r>
            <w:r>
              <w:rPr>
                <w:rStyle w:val="FootnoteReference"/>
              </w:rPr>
              <w:footnoteReference w:id="247"/>
            </w:r>
          </w:p>
          <w:p w14:paraId="0876B025" w14:textId="77777777" w:rsidR="006C11F3" w:rsidRDefault="006C11F3" w:rsidP="00026009"/>
          <w:p w14:paraId="4C503D3A" w14:textId="77777777" w:rsidR="00640D75" w:rsidRPr="00220FBE" w:rsidRDefault="00640D75" w:rsidP="00640D75">
            <w:pPr>
              <w:spacing w:after="0"/>
              <w:rPr>
                <w:b/>
                <w:bCs/>
              </w:rPr>
            </w:pPr>
            <w:r>
              <w:rPr>
                <w:b/>
                <w:bCs/>
              </w:rPr>
              <w:t>Note 1: I</w:t>
            </w:r>
            <w:r w:rsidRPr="00220FBE">
              <w:rPr>
                <w:b/>
                <w:bCs/>
              </w:rPr>
              <w:t>nstitutional</w:t>
            </w:r>
            <w:r>
              <w:rPr>
                <w:b/>
                <w:bCs/>
              </w:rPr>
              <w:t xml:space="preserve"> integration of </w:t>
            </w:r>
            <w:proofErr w:type="gramStart"/>
            <w:r>
              <w:rPr>
                <w:b/>
                <w:bCs/>
              </w:rPr>
              <w:t>gender</w:t>
            </w:r>
            <w:proofErr w:type="gramEnd"/>
          </w:p>
          <w:p w14:paraId="3D49C658" w14:textId="77777777" w:rsidR="00640D75" w:rsidRDefault="00640D75" w:rsidP="00640D75">
            <w:r>
              <w:t>“</w:t>
            </w:r>
            <w:r w:rsidRPr="00682A67">
              <w:t xml:space="preserve">The military entity responsible for integrating perspectives of women in the Armed Forces is </w:t>
            </w:r>
            <w:r w:rsidRPr="00682A67">
              <w:lastRenderedPageBreak/>
              <w:t>the 'Council on Women in the Armed Forces'. It is managed by chair, who is a woman. She reports directly to the Minister of National Defense. The Council is responsible for monitoring the situation of women in the Armed Forces.</w:t>
            </w:r>
          </w:p>
          <w:p w14:paraId="524AE380" w14:textId="77777777" w:rsidR="00640D75" w:rsidRDefault="00640D75" w:rsidP="00640D75">
            <w:r w:rsidRPr="00682A67">
              <w:t xml:space="preserve">Moreover, the Coordinator for Equal Treatment was established in the Ministry of National </w:t>
            </w:r>
            <w:proofErr w:type="spellStart"/>
            <w:r w:rsidRPr="00682A67">
              <w:t>Defence</w:t>
            </w:r>
            <w:proofErr w:type="spellEnd"/>
            <w:r w:rsidRPr="00682A67">
              <w:t xml:space="preserve">. The </w:t>
            </w:r>
            <w:proofErr w:type="gramStart"/>
            <w:r w:rsidRPr="00682A67">
              <w:t>Coordinator's</w:t>
            </w:r>
            <w:proofErr w:type="gramEnd"/>
            <w:r w:rsidRPr="00682A67">
              <w:t xml:space="preserve"> task is to identify cases of discrimination and take preventive actions. In all cases related to the discrimination against servicewomen, actions are taken by the Council on Women.</w:t>
            </w:r>
            <w:r>
              <w:t>”</w:t>
            </w:r>
            <w:r w:rsidRPr="00682A67">
              <w:rPr>
                <w:rStyle w:val="FootnoteReference"/>
              </w:rPr>
              <w:t xml:space="preserve"> </w:t>
            </w:r>
            <w:r>
              <w:rPr>
                <w:rStyle w:val="FootnoteReference"/>
              </w:rPr>
              <w:footnoteReference w:id="248"/>
            </w:r>
          </w:p>
          <w:p w14:paraId="1E0694EC" w14:textId="77777777" w:rsidR="00640D75" w:rsidRPr="00E5243F" w:rsidRDefault="00640D75" w:rsidP="00640D75">
            <w:pPr>
              <w:rPr>
                <w:b/>
                <w:bCs/>
              </w:rPr>
            </w:pPr>
          </w:p>
          <w:p w14:paraId="7D8BD907" w14:textId="77777777" w:rsidR="00640D75" w:rsidRDefault="00640D75" w:rsidP="00640D75">
            <w:pPr>
              <w:rPr>
                <w:b/>
                <w:bCs/>
              </w:rPr>
            </w:pPr>
            <w:r>
              <w:rPr>
                <w:b/>
                <w:bCs/>
              </w:rPr>
              <w:t>Note 2</w:t>
            </w:r>
            <w:r w:rsidRPr="00C50216">
              <w:t xml:space="preserve">: </w:t>
            </w:r>
            <w:r>
              <w:rPr>
                <w:b/>
                <w:bCs/>
              </w:rPr>
              <w:t>Suitable military equipment/facilities/uniforms for both sexes.</w:t>
            </w:r>
          </w:p>
          <w:p w14:paraId="7911E3B1" w14:textId="77777777" w:rsidR="00640D75" w:rsidRDefault="00640D75" w:rsidP="00640D75">
            <w:r>
              <w:t>“</w:t>
            </w:r>
            <w:r w:rsidRPr="00682A67">
              <w:t xml:space="preserve">Women and men use the same military equipment and military facilities are adapted for both women and men. Women and men wear the same combat uniforms. Service uniforms for </w:t>
            </w:r>
            <w:r w:rsidRPr="00682A67">
              <w:lastRenderedPageBreak/>
              <w:t>women and men are tailored for them.</w:t>
            </w:r>
            <w:r>
              <w:t>”</w:t>
            </w:r>
            <w:r w:rsidRPr="00682A67">
              <w:rPr>
                <w:rStyle w:val="FootnoteReference"/>
              </w:rPr>
              <w:t xml:space="preserve"> </w:t>
            </w:r>
            <w:r>
              <w:rPr>
                <w:rStyle w:val="FootnoteReference"/>
              </w:rPr>
              <w:footnoteReference w:id="249"/>
            </w:r>
          </w:p>
          <w:p w14:paraId="46FA8B9F" w14:textId="77777777" w:rsidR="00640D75" w:rsidRDefault="00D45124" w:rsidP="00026009">
            <w:pPr>
              <w:rPr>
                <w:b/>
                <w:bCs/>
              </w:rPr>
            </w:pPr>
            <w:r>
              <w:rPr>
                <w:b/>
                <w:bCs/>
              </w:rPr>
              <w:t xml:space="preserve">Note 3: Restrictions </w:t>
            </w:r>
          </w:p>
          <w:p w14:paraId="61990BA6" w14:textId="77777777" w:rsidR="00D45124" w:rsidRPr="00D45124" w:rsidRDefault="00D45124" w:rsidP="00026009">
            <w:pPr>
              <w:rPr>
                <w:b/>
                <w:bCs/>
              </w:rPr>
            </w:pPr>
            <w:r w:rsidRPr="00D45124">
              <w:rPr>
                <w:b/>
                <w:bCs/>
              </w:rPr>
              <w:t xml:space="preserve">“Restrictions on the Incorporation of Women in the Armed Forces </w:t>
            </w:r>
          </w:p>
          <w:p w14:paraId="1D611FD0" w14:textId="659FABC2" w:rsidR="00D45124" w:rsidRPr="00D45124" w:rsidRDefault="00D45124" w:rsidP="00D45124">
            <w:r w:rsidRPr="00D45124">
              <w:t xml:space="preserve">All </w:t>
            </w:r>
            <w:proofErr w:type="gramStart"/>
            <w:r w:rsidRPr="00D45124">
              <w:t>active duty</w:t>
            </w:r>
            <w:proofErr w:type="gramEnd"/>
            <w:r w:rsidRPr="00D45124">
              <w:t xml:space="preserve"> positions are accessible to women and men in the PAF, except for posts in the Chaplains’ Corps. There are no plans to eliminate this restriction and the PAF do not have control over whether this restriction is lifted. This restriction is based on religious regulations that limit these positions to only men.</w:t>
            </w:r>
            <w:r>
              <w:t>”</w:t>
            </w:r>
            <w:r>
              <w:rPr>
                <w:rStyle w:val="FootnoteReference"/>
              </w:rPr>
              <w:t xml:space="preserve"> </w:t>
            </w:r>
            <w:r>
              <w:rPr>
                <w:rStyle w:val="FootnoteReference"/>
              </w:rPr>
              <w:footnoteReference w:id="250"/>
            </w:r>
            <w:r>
              <w:t xml:space="preserve"> </w:t>
            </w:r>
          </w:p>
        </w:tc>
        <w:tc>
          <w:tcPr>
            <w:tcW w:w="949" w:type="pct"/>
            <w:shd w:val="clear" w:color="auto" w:fill="auto"/>
          </w:tcPr>
          <w:p w14:paraId="7656EA79" w14:textId="273939F9" w:rsidR="008A057E" w:rsidRPr="008448A0" w:rsidRDefault="008448A0" w:rsidP="00026009">
            <w:pPr>
              <w:rPr>
                <w:b/>
                <w:bCs/>
              </w:rPr>
            </w:pPr>
            <w:r>
              <w:rPr>
                <w:b/>
                <w:bCs/>
              </w:rPr>
              <w:lastRenderedPageBreak/>
              <w:t>No mandatory military service</w:t>
            </w:r>
            <w:r w:rsidRPr="008448A0">
              <w:t>:</w:t>
            </w:r>
          </w:p>
          <w:p w14:paraId="75ABF12D" w14:textId="77777777" w:rsidR="005A72DD" w:rsidRDefault="008A057E" w:rsidP="005A72DD">
            <w:r>
              <w:t>“</w:t>
            </w:r>
            <w:r w:rsidRPr="008A057E">
              <w:t xml:space="preserve">18-28 years of age for male and female voluntary military service; conscription phased out in 2009-12; professional soldiers serve on a permanent basis (for an unspecified </w:t>
            </w:r>
            <w:proofErr w:type="gramStart"/>
            <w:r w:rsidRPr="008A057E">
              <w:t>period of time</w:t>
            </w:r>
            <w:proofErr w:type="gramEnd"/>
            <w:r w:rsidRPr="008A057E">
              <w:t>) or on a contract basis (for a specified period of time); initial contract period is 24 months; women serve in the military on the same terms as men (2022)</w:t>
            </w:r>
          </w:p>
          <w:p w14:paraId="7118797F" w14:textId="56B4EB19" w:rsidR="005A72DD" w:rsidRDefault="008A057E" w:rsidP="005A72DD">
            <w:r w:rsidRPr="008A057E">
              <w:rPr>
                <w:b/>
                <w:bCs/>
              </w:rPr>
              <w:t>note 1:</w:t>
            </w:r>
            <w:r w:rsidRPr="008A057E">
              <w:t> as of 2019, women made up about 7% of the military's full-time personnel</w:t>
            </w:r>
          </w:p>
          <w:p w14:paraId="596AAC4B" w14:textId="77777777" w:rsidR="004116DF" w:rsidRDefault="008A057E" w:rsidP="005A72DD">
            <w:r w:rsidRPr="008A057E">
              <w:rPr>
                <w:b/>
                <w:bCs/>
              </w:rPr>
              <w:t>note 2: </w:t>
            </w:r>
            <w:r w:rsidRPr="008A057E">
              <w:t xml:space="preserve">in May 2022, Poland announced a new 12-month voluntary military service program with recruits going through a 1-month basic training period with a military unit, followed by 11 months of specialized training; upon completion of service, the volunteers would be allowed to join the Territorial Defense Forces or the active </w:t>
            </w:r>
            <w:r w:rsidRPr="008A057E">
              <w:lastRenderedPageBreak/>
              <w:t>reserve, and have priority to join the professional army and be given preference for employment in the public sector; the program is part of an effort to increase the size of the Polish military</w:t>
            </w:r>
            <w:r w:rsidR="005A72DD" w:rsidRPr="005A72DD">
              <w:t>.”</w:t>
            </w:r>
            <w:r w:rsidR="004116DF" w:rsidRPr="005D2F5A">
              <w:rPr>
                <w:rStyle w:val="FootnoteReference"/>
              </w:rPr>
              <w:footnoteReference w:id="251"/>
            </w:r>
          </w:p>
          <w:p w14:paraId="084BAB09" w14:textId="6B7C86DD" w:rsidR="007B7264" w:rsidRPr="00662CBC" w:rsidRDefault="007B7264" w:rsidP="007B7264"/>
        </w:tc>
        <w:tc>
          <w:tcPr>
            <w:tcW w:w="677" w:type="pct"/>
            <w:shd w:val="clear" w:color="auto" w:fill="auto"/>
          </w:tcPr>
          <w:p w14:paraId="3A46171D" w14:textId="77777777" w:rsidR="004116DF" w:rsidRDefault="00000000" w:rsidP="00026009">
            <w:pPr>
              <w:rPr>
                <w:b/>
                <w:bCs/>
              </w:rPr>
            </w:pPr>
            <w:hyperlink r:id="rId99" w:history="1">
              <w:r w:rsidR="0084008E" w:rsidRPr="0034661C">
                <w:rPr>
                  <w:rStyle w:val="Hyperlink"/>
                  <w:b/>
                  <w:bCs/>
                </w:rPr>
                <w:t>NAP</w:t>
              </w:r>
              <w:r w:rsidR="0034661C" w:rsidRPr="0034661C">
                <w:rPr>
                  <w:rStyle w:val="Hyperlink"/>
                  <w:b/>
                  <w:bCs/>
                </w:rPr>
                <w:t xml:space="preserve"> 2018-2021</w:t>
              </w:r>
              <w:r w:rsidR="0084008E" w:rsidRPr="0034661C">
                <w:rPr>
                  <w:rStyle w:val="Hyperlink"/>
                  <w:b/>
                  <w:bCs/>
                </w:rPr>
                <w:t xml:space="preserve"> </w:t>
              </w:r>
              <w:r w:rsidR="0084008E" w:rsidRPr="0034661C">
                <w:rPr>
                  <w:rStyle w:val="Hyperlink"/>
                </w:rPr>
                <w:t>(</w:t>
              </w:r>
              <w:r w:rsidR="0034661C" w:rsidRPr="0034661C">
                <w:rPr>
                  <w:rStyle w:val="Hyperlink"/>
                </w:rPr>
                <w:t>2018</w:t>
              </w:r>
              <w:r w:rsidR="0084008E" w:rsidRPr="0034661C">
                <w:rPr>
                  <w:rStyle w:val="Hyperlink"/>
                </w:rPr>
                <w:t>)</w:t>
              </w:r>
            </w:hyperlink>
          </w:p>
          <w:p w14:paraId="6E3BD225" w14:textId="77777777" w:rsidR="00E804E1" w:rsidRDefault="00E804E1" w:rsidP="00FD3A4D">
            <w:pPr>
              <w:pStyle w:val="ListParagraph"/>
              <w:numPr>
                <w:ilvl w:val="0"/>
                <w:numId w:val="21"/>
              </w:numPr>
            </w:pPr>
            <w:r>
              <w:t xml:space="preserve">Dominant focus: Participation </w:t>
            </w:r>
            <w:r>
              <w:rPr>
                <w:rStyle w:val="FootnoteReference"/>
              </w:rPr>
              <w:footnoteReference w:id="252"/>
            </w:r>
          </w:p>
          <w:p w14:paraId="320E337F" w14:textId="7C58EF2D" w:rsidR="00FD3A4D" w:rsidRPr="00662CBC" w:rsidRDefault="00FD3A4D" w:rsidP="00FD3A4D">
            <w:pPr>
              <w:pStyle w:val="ListParagraph"/>
              <w:numPr>
                <w:ilvl w:val="0"/>
                <w:numId w:val="21"/>
              </w:numPr>
            </w:pPr>
            <w:r>
              <w:t xml:space="preserve">No precise objectives </w:t>
            </w:r>
            <w:r w:rsidR="00722B9E">
              <w:rPr>
                <w:rStyle w:val="FootnoteReference"/>
              </w:rPr>
              <w:footnoteReference w:id="253"/>
            </w:r>
          </w:p>
        </w:tc>
      </w:tr>
      <w:tr w:rsidR="00CB5BD0" w:rsidRPr="00662CBC" w14:paraId="61824E88" w14:textId="77777777" w:rsidTr="00F37D6B">
        <w:tc>
          <w:tcPr>
            <w:tcW w:w="139" w:type="pct"/>
            <w:shd w:val="clear" w:color="auto" w:fill="auto"/>
          </w:tcPr>
          <w:p w14:paraId="079B0941"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61BEB50A" w14:textId="77777777" w:rsidR="004116DF" w:rsidRPr="00662CBC" w:rsidRDefault="004116DF" w:rsidP="006064D6">
            <w:pPr>
              <w:pStyle w:val="Heading3"/>
            </w:pPr>
            <w:bookmarkStart w:id="41" w:name="_Toc132806724"/>
            <w:r w:rsidRPr="00662CBC">
              <w:t>Portugal</w:t>
            </w:r>
            <w:bookmarkEnd w:id="41"/>
            <w:r w:rsidRPr="00662CBC">
              <w:t xml:space="preserve"> </w:t>
            </w:r>
          </w:p>
          <w:p w14:paraId="6C3423D6" w14:textId="77777777" w:rsidR="004116DF" w:rsidRPr="00662CBC" w:rsidRDefault="004116DF" w:rsidP="006064D6">
            <w:pPr>
              <w:rPr>
                <w:b/>
                <w:bCs/>
                <w:szCs w:val="20"/>
              </w:rPr>
            </w:pPr>
          </w:p>
        </w:tc>
        <w:tc>
          <w:tcPr>
            <w:tcW w:w="855" w:type="pct"/>
            <w:shd w:val="clear" w:color="auto" w:fill="auto"/>
          </w:tcPr>
          <w:p w14:paraId="24A28BB7" w14:textId="2122728C" w:rsidR="004116DF" w:rsidRPr="00662CBC" w:rsidRDefault="004116DF" w:rsidP="00026009">
            <w:r w:rsidRPr="00662CBC">
              <w:t>s. NDC submitted by EU</w:t>
            </w:r>
          </w:p>
        </w:tc>
        <w:tc>
          <w:tcPr>
            <w:tcW w:w="1023" w:type="pct"/>
            <w:shd w:val="clear" w:color="auto" w:fill="auto"/>
          </w:tcPr>
          <w:p w14:paraId="280EB946" w14:textId="58F593DE" w:rsidR="004116DF" w:rsidRPr="00637B89" w:rsidRDefault="00637B89" w:rsidP="00026009">
            <w:pPr>
              <w:rPr>
                <w:b/>
                <w:bCs/>
              </w:rPr>
            </w:pPr>
            <w:r>
              <w:rPr>
                <w:b/>
                <w:bCs/>
              </w:rPr>
              <w:t xml:space="preserve">No legislated quotas </w:t>
            </w:r>
          </w:p>
          <w:p w14:paraId="57E668FA" w14:textId="77777777" w:rsidR="002022B2" w:rsidRPr="00D9742C" w:rsidRDefault="002022B2" w:rsidP="002022B2">
            <w:r>
              <w:rPr>
                <w:b/>
                <w:bCs/>
              </w:rPr>
              <w:t>Concluding Observations</w:t>
            </w:r>
            <w:r>
              <w:t xml:space="preserve"> (2022):</w:t>
            </w:r>
          </w:p>
          <w:p w14:paraId="3D5621A7" w14:textId="77777777" w:rsidR="002022B2" w:rsidRDefault="002022B2" w:rsidP="002022B2">
            <w:r>
              <w:t>“</w:t>
            </w:r>
            <w:r w:rsidRPr="00D9742C">
              <w:t xml:space="preserve">27. </w:t>
            </w:r>
            <w:r w:rsidRPr="00D9742C">
              <w:rPr>
                <w:b/>
                <w:bCs/>
              </w:rPr>
              <w:t xml:space="preserve">In line with its previous concluding observations (CEDAW/C/PRT/CO/8-9, para. 31), its general recommendation No. 23 (1997) on women in political and public life and target 5.5 of the Sustainable Development Goals, to ensure women’s full and effective </w:t>
            </w:r>
            <w:r w:rsidRPr="00D9742C">
              <w:rPr>
                <w:b/>
                <w:bCs/>
              </w:rPr>
              <w:lastRenderedPageBreak/>
              <w:t>participation and equal opportunities for leadership at all levels of decision-making in political, economic and public life, the Committee urges the State party to continue its efforts to increase the CEDAW/C/PRT/CO/10 22-10904 9/13 participation of women at all levels of political and public life in the State party. In particular, the Committee recommends that the State party</w:t>
            </w:r>
            <w:r w:rsidRPr="00D9742C">
              <w:t xml:space="preserve">: </w:t>
            </w:r>
          </w:p>
          <w:p w14:paraId="37F15F49" w14:textId="2C55CD8C" w:rsidR="002022B2" w:rsidRPr="00662CBC" w:rsidRDefault="002022B2" w:rsidP="002022B2">
            <w:r w:rsidRPr="00D9742C">
              <w:t xml:space="preserve">[...] (d) </w:t>
            </w:r>
            <w:r w:rsidRPr="00D9742C">
              <w:rPr>
                <w:b/>
                <w:bCs/>
              </w:rPr>
              <w:t>Increase the participation of women in international leadership, including as diplomats and representatives of international organizations</w:t>
            </w:r>
            <w:r w:rsidRPr="00D9742C">
              <w:t>.</w:t>
            </w:r>
            <w:r>
              <w:t>”</w:t>
            </w:r>
            <w:r>
              <w:rPr>
                <w:rStyle w:val="FootnoteReference"/>
              </w:rPr>
              <w:footnoteReference w:id="254"/>
            </w:r>
          </w:p>
        </w:tc>
        <w:tc>
          <w:tcPr>
            <w:tcW w:w="903" w:type="pct"/>
            <w:shd w:val="clear" w:color="auto" w:fill="auto"/>
          </w:tcPr>
          <w:p w14:paraId="605B19C9" w14:textId="77777777" w:rsidR="00637B89" w:rsidRPr="00637B89" w:rsidRDefault="00637B89" w:rsidP="00637B89">
            <w:pPr>
              <w:rPr>
                <w:b/>
                <w:bCs/>
              </w:rPr>
            </w:pPr>
            <w:r>
              <w:rPr>
                <w:b/>
                <w:bCs/>
              </w:rPr>
              <w:lastRenderedPageBreak/>
              <w:t xml:space="preserve">No legislated quotas </w:t>
            </w:r>
          </w:p>
          <w:p w14:paraId="41E1512E" w14:textId="7F079138" w:rsidR="004116DF" w:rsidRPr="00662CBC" w:rsidRDefault="004116DF" w:rsidP="00026009"/>
        </w:tc>
        <w:tc>
          <w:tcPr>
            <w:tcW w:w="949" w:type="pct"/>
            <w:shd w:val="clear" w:color="auto" w:fill="auto"/>
          </w:tcPr>
          <w:p w14:paraId="1A6986F7" w14:textId="77777777" w:rsidR="00B37B55" w:rsidRPr="008448A0" w:rsidRDefault="00B37B55" w:rsidP="00B37B55">
            <w:pPr>
              <w:rPr>
                <w:b/>
                <w:bCs/>
              </w:rPr>
            </w:pPr>
            <w:r>
              <w:rPr>
                <w:b/>
                <w:bCs/>
              </w:rPr>
              <w:t>No mandatory military service</w:t>
            </w:r>
            <w:r w:rsidRPr="008448A0">
              <w:t>:</w:t>
            </w:r>
          </w:p>
          <w:p w14:paraId="796CF615" w14:textId="77777777" w:rsidR="00B37B55" w:rsidRDefault="00B37B55" w:rsidP="00B37B55">
            <w:r>
              <w:t xml:space="preserve">“18-30 years of age for voluntary or contract military service; no compulsory military service (abolished 2004) but conscription possible if insufficient volunteers available; women serve in the armed forces but are prohibited from serving in some combatant specialties; contract service lasts </w:t>
            </w:r>
            <w:r>
              <w:lastRenderedPageBreak/>
              <w:t>for an initial period of 2-6 years, and can be extended to a maximum of 20 years of service; initial voluntary military service lasts 12 months; reserve obligation to age 35 (2022)</w:t>
            </w:r>
          </w:p>
          <w:p w14:paraId="6A61B6D3" w14:textId="074E2076" w:rsidR="004116DF" w:rsidRPr="00662CBC" w:rsidRDefault="00B37B55" w:rsidP="00B37B55">
            <w:r w:rsidRPr="00B37B55">
              <w:rPr>
                <w:b/>
                <w:bCs/>
              </w:rPr>
              <w:t>note</w:t>
            </w:r>
            <w:r>
              <w:t>: as of 2019, women made up about 12% of the military's full-time personnel.”</w:t>
            </w:r>
            <w:r w:rsidRPr="005D2F5A">
              <w:rPr>
                <w:rStyle w:val="FootnoteReference"/>
              </w:rPr>
              <w:t xml:space="preserve"> </w:t>
            </w:r>
            <w:r w:rsidR="004116DF" w:rsidRPr="005D2F5A">
              <w:rPr>
                <w:rStyle w:val="FootnoteReference"/>
              </w:rPr>
              <w:footnoteReference w:id="255"/>
            </w:r>
          </w:p>
        </w:tc>
        <w:tc>
          <w:tcPr>
            <w:tcW w:w="677" w:type="pct"/>
            <w:shd w:val="clear" w:color="auto" w:fill="auto"/>
          </w:tcPr>
          <w:p w14:paraId="075B9765" w14:textId="6241140C" w:rsidR="004116DF" w:rsidRDefault="00000000" w:rsidP="00026009">
            <w:hyperlink r:id="rId100" w:history="1">
              <w:r w:rsidR="0084008E" w:rsidRPr="0047785F">
                <w:rPr>
                  <w:rStyle w:val="Hyperlink"/>
                  <w:b/>
                  <w:bCs/>
                </w:rPr>
                <w:t>NAP</w:t>
              </w:r>
              <w:r w:rsidR="0034661C" w:rsidRPr="0047785F">
                <w:rPr>
                  <w:rStyle w:val="Hyperlink"/>
                  <w:b/>
                  <w:bCs/>
                </w:rPr>
                <w:t xml:space="preserve"> 2009</w:t>
              </w:r>
              <w:r w:rsidR="0047785F" w:rsidRPr="0047785F">
                <w:rPr>
                  <w:rStyle w:val="Hyperlink"/>
                  <w:b/>
                  <w:bCs/>
                </w:rPr>
                <w:t>-2013</w:t>
              </w:r>
              <w:r w:rsidR="0084008E" w:rsidRPr="0047785F">
                <w:rPr>
                  <w:rStyle w:val="Hyperlink"/>
                  <w:b/>
                  <w:bCs/>
                </w:rPr>
                <w:t xml:space="preserve"> </w:t>
              </w:r>
              <w:r w:rsidR="0084008E" w:rsidRPr="0047785F">
                <w:rPr>
                  <w:rStyle w:val="Hyperlink"/>
                </w:rPr>
                <w:t>(</w:t>
              </w:r>
              <w:r w:rsidR="0034661C" w:rsidRPr="0047785F">
                <w:rPr>
                  <w:rStyle w:val="Hyperlink"/>
                </w:rPr>
                <w:t>2009</w:t>
              </w:r>
              <w:r w:rsidR="0084008E" w:rsidRPr="0047785F">
                <w:rPr>
                  <w:rStyle w:val="Hyperlink"/>
                </w:rPr>
                <w:t>)</w:t>
              </w:r>
            </w:hyperlink>
          </w:p>
          <w:p w14:paraId="3F77A44F" w14:textId="7639E1B9" w:rsidR="0034661C" w:rsidRDefault="00000000" w:rsidP="00026009">
            <w:hyperlink r:id="rId101" w:history="1">
              <w:r w:rsidR="0034661C" w:rsidRPr="00FD3A4D">
                <w:rPr>
                  <w:rStyle w:val="Hyperlink"/>
                  <w:b/>
                  <w:bCs/>
                </w:rPr>
                <w:t>NAP</w:t>
              </w:r>
              <w:r w:rsidR="00FD3A4D" w:rsidRPr="00FD3A4D">
                <w:rPr>
                  <w:rStyle w:val="Hyperlink"/>
                  <w:b/>
                  <w:bCs/>
                </w:rPr>
                <w:t xml:space="preserve"> 2014-2018</w:t>
              </w:r>
              <w:r w:rsidR="0034661C" w:rsidRPr="00FD3A4D">
                <w:rPr>
                  <w:rStyle w:val="Hyperlink"/>
                  <w:b/>
                  <w:bCs/>
                </w:rPr>
                <w:t xml:space="preserve"> </w:t>
              </w:r>
              <w:r w:rsidR="0034661C" w:rsidRPr="00FD3A4D">
                <w:rPr>
                  <w:rStyle w:val="Hyperlink"/>
                </w:rPr>
                <w:t>(2014)</w:t>
              </w:r>
            </w:hyperlink>
          </w:p>
          <w:p w14:paraId="3DEAF372" w14:textId="4FD061E0" w:rsidR="0034661C" w:rsidRDefault="00000000" w:rsidP="00FD3A4D">
            <w:pPr>
              <w:jc w:val="left"/>
              <w:rPr>
                <w:b/>
                <w:bCs/>
              </w:rPr>
            </w:pPr>
            <w:hyperlink r:id="rId102" w:history="1">
              <w:r w:rsidR="0034661C" w:rsidRPr="00FD3A4D">
                <w:rPr>
                  <w:rStyle w:val="Hyperlink"/>
                  <w:b/>
                  <w:bCs/>
                </w:rPr>
                <w:t>NAP</w:t>
              </w:r>
              <w:r w:rsidR="00FD3A4D" w:rsidRPr="00FD3A4D">
                <w:rPr>
                  <w:rStyle w:val="Hyperlink"/>
                  <w:b/>
                  <w:bCs/>
                </w:rPr>
                <w:t xml:space="preserve"> 2019-2022</w:t>
              </w:r>
              <w:r w:rsidR="0034661C" w:rsidRPr="00FD3A4D">
                <w:rPr>
                  <w:rStyle w:val="Hyperlink"/>
                </w:rPr>
                <w:t>(2019)</w:t>
              </w:r>
            </w:hyperlink>
          </w:p>
          <w:p w14:paraId="5153A500" w14:textId="77777777" w:rsidR="00FD3A4D" w:rsidRDefault="00FD3A4D" w:rsidP="00FD3A4D">
            <w:pPr>
              <w:pStyle w:val="ListParagraph"/>
              <w:numPr>
                <w:ilvl w:val="0"/>
                <w:numId w:val="21"/>
              </w:numPr>
            </w:pPr>
            <w:r>
              <w:t xml:space="preserve">Dominant focus: Participation </w:t>
            </w:r>
            <w:r>
              <w:rPr>
                <w:rStyle w:val="FootnoteReference"/>
              </w:rPr>
              <w:footnoteReference w:id="256"/>
            </w:r>
          </w:p>
          <w:p w14:paraId="098BA082" w14:textId="77777777" w:rsidR="00FD3A4D" w:rsidRDefault="00D06B6B" w:rsidP="002D1508">
            <w:pPr>
              <w:pStyle w:val="ListParagraph"/>
              <w:numPr>
                <w:ilvl w:val="0"/>
                <w:numId w:val="21"/>
              </w:numPr>
            </w:pPr>
            <w:r>
              <w:lastRenderedPageBreak/>
              <w:t xml:space="preserve">Precise goals listed </w:t>
            </w:r>
            <w:r w:rsidR="00260ED7">
              <w:t>by year</w:t>
            </w:r>
            <w:r w:rsidR="00087036">
              <w:rPr>
                <w:rStyle w:val="FootnoteReference"/>
              </w:rPr>
              <w:footnoteReference w:id="257"/>
            </w:r>
          </w:p>
          <w:p w14:paraId="7BF42D7F" w14:textId="2DDDA32A" w:rsidR="002D1508" w:rsidRPr="00662CBC" w:rsidRDefault="002D1508" w:rsidP="002D1508">
            <w:pPr>
              <w:pStyle w:val="ListParagraph"/>
              <w:ind w:left="284"/>
            </w:pPr>
          </w:p>
        </w:tc>
      </w:tr>
      <w:tr w:rsidR="00CB5BD0" w:rsidRPr="00662CBC" w14:paraId="405514E2" w14:textId="77777777" w:rsidTr="00F37D6B">
        <w:tc>
          <w:tcPr>
            <w:tcW w:w="139" w:type="pct"/>
            <w:shd w:val="clear" w:color="auto" w:fill="auto"/>
          </w:tcPr>
          <w:p w14:paraId="5F0B98BD"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5AEF62A0" w14:textId="77777777" w:rsidR="004116DF" w:rsidRPr="00662CBC" w:rsidRDefault="004116DF" w:rsidP="006064D6">
            <w:pPr>
              <w:pStyle w:val="Heading3"/>
            </w:pPr>
            <w:bookmarkStart w:id="42" w:name="_Toc132806725"/>
            <w:r w:rsidRPr="00662CBC">
              <w:t>Romania</w:t>
            </w:r>
            <w:bookmarkEnd w:id="42"/>
          </w:p>
          <w:p w14:paraId="2CA77768" w14:textId="77777777" w:rsidR="004116DF" w:rsidRPr="00662CBC" w:rsidRDefault="004116DF" w:rsidP="006064D6">
            <w:pPr>
              <w:rPr>
                <w:b/>
                <w:bCs/>
                <w:szCs w:val="20"/>
              </w:rPr>
            </w:pPr>
          </w:p>
        </w:tc>
        <w:tc>
          <w:tcPr>
            <w:tcW w:w="855" w:type="pct"/>
            <w:shd w:val="clear" w:color="auto" w:fill="auto"/>
          </w:tcPr>
          <w:p w14:paraId="712E49BD" w14:textId="4191260C" w:rsidR="004116DF" w:rsidRPr="00662CBC" w:rsidRDefault="004116DF" w:rsidP="00026009">
            <w:r w:rsidRPr="00662CBC">
              <w:t>s. NDC submitted by EU</w:t>
            </w:r>
          </w:p>
        </w:tc>
        <w:tc>
          <w:tcPr>
            <w:tcW w:w="1023" w:type="pct"/>
            <w:shd w:val="clear" w:color="auto" w:fill="auto"/>
          </w:tcPr>
          <w:p w14:paraId="24E94EDE" w14:textId="77777777" w:rsidR="004A3577" w:rsidRPr="0045145F" w:rsidRDefault="004A3577" w:rsidP="004A3577">
            <w:pPr>
              <w:rPr>
                <w:b/>
                <w:bCs/>
              </w:rPr>
            </w:pPr>
            <w:r>
              <w:rPr>
                <w:b/>
                <w:bCs/>
              </w:rPr>
              <w:t xml:space="preserve">No legislated quotas </w:t>
            </w:r>
          </w:p>
          <w:p w14:paraId="266A5D08" w14:textId="4CE4661D" w:rsidR="004116DF" w:rsidRPr="00662CBC" w:rsidRDefault="004116DF" w:rsidP="00026009"/>
        </w:tc>
        <w:tc>
          <w:tcPr>
            <w:tcW w:w="903" w:type="pct"/>
            <w:shd w:val="clear" w:color="auto" w:fill="auto"/>
          </w:tcPr>
          <w:p w14:paraId="3A6FC6C1" w14:textId="77777777" w:rsidR="004A3577" w:rsidRPr="0045145F" w:rsidRDefault="004A3577" w:rsidP="004A3577">
            <w:pPr>
              <w:rPr>
                <w:b/>
                <w:bCs/>
              </w:rPr>
            </w:pPr>
            <w:r>
              <w:rPr>
                <w:b/>
                <w:bCs/>
              </w:rPr>
              <w:t xml:space="preserve">No legislated quotas </w:t>
            </w:r>
          </w:p>
          <w:p w14:paraId="4AB78FA9" w14:textId="7FDE670D" w:rsidR="004D36A0" w:rsidRDefault="004D36A0" w:rsidP="004D36A0">
            <w:pPr>
              <w:spacing w:after="0"/>
              <w:rPr>
                <w:b/>
                <w:bCs/>
              </w:rPr>
            </w:pPr>
            <w:r>
              <w:rPr>
                <w:b/>
                <w:bCs/>
              </w:rPr>
              <w:t>Note 1: I</w:t>
            </w:r>
            <w:r w:rsidRPr="00220FBE">
              <w:rPr>
                <w:b/>
                <w:bCs/>
              </w:rPr>
              <w:t>nstitutional</w:t>
            </w:r>
            <w:r>
              <w:rPr>
                <w:b/>
                <w:bCs/>
              </w:rPr>
              <w:t xml:space="preserve"> integration of </w:t>
            </w:r>
            <w:proofErr w:type="gramStart"/>
            <w:r>
              <w:rPr>
                <w:b/>
                <w:bCs/>
              </w:rPr>
              <w:t>gender</w:t>
            </w:r>
            <w:proofErr w:type="gramEnd"/>
          </w:p>
          <w:p w14:paraId="7F0F26F9" w14:textId="77777777" w:rsidR="004D36A0" w:rsidRPr="00283EC0" w:rsidRDefault="004D36A0" w:rsidP="004D36A0">
            <w:pPr>
              <w:spacing w:after="0"/>
            </w:pPr>
            <w:r>
              <w:t>“</w:t>
            </w:r>
            <w:r w:rsidRPr="00283EC0">
              <w:t xml:space="preserve">There is no quota system for women or men in the Romanian Armed Forces. There are no restrictions on the incorporation of </w:t>
            </w:r>
            <w:r w:rsidRPr="00283EC0">
              <w:lastRenderedPageBreak/>
              <w:t>women in the Armed Forces. The Romanian Armed Forces have gender advisors, who are educated and trained via military courses delivered by military educational institutions.</w:t>
            </w:r>
            <w:r>
              <w:t>”</w:t>
            </w:r>
            <w:r w:rsidRPr="00283EC0">
              <w:rPr>
                <w:rStyle w:val="FootnoteReference"/>
              </w:rPr>
              <w:t xml:space="preserve"> </w:t>
            </w:r>
            <w:r>
              <w:rPr>
                <w:rStyle w:val="FootnoteReference"/>
              </w:rPr>
              <w:footnoteReference w:id="258"/>
            </w:r>
          </w:p>
          <w:p w14:paraId="035723D5" w14:textId="77777777" w:rsidR="004D36A0" w:rsidRDefault="004D36A0" w:rsidP="004D36A0">
            <w:pPr>
              <w:rPr>
                <w:b/>
                <w:bCs/>
              </w:rPr>
            </w:pPr>
            <w:r>
              <w:rPr>
                <w:b/>
                <w:bCs/>
              </w:rPr>
              <w:t>Note 2</w:t>
            </w:r>
            <w:r w:rsidRPr="00C50216">
              <w:t xml:space="preserve">: </w:t>
            </w:r>
            <w:r>
              <w:rPr>
                <w:b/>
                <w:bCs/>
              </w:rPr>
              <w:t>Adapted facilities for both sexes. Not adapted military equipment.</w:t>
            </w:r>
          </w:p>
          <w:p w14:paraId="41066225" w14:textId="77777777" w:rsidR="004D36A0" w:rsidRDefault="004D36A0" w:rsidP="004D36A0">
            <w:r>
              <w:t>“</w:t>
            </w:r>
            <w:r w:rsidRPr="00283EC0">
              <w:t>The Military equipment used by the Romanian Armed Forces does not take gender differences into account. Military facilities are adapted for women and men.</w:t>
            </w:r>
            <w:r>
              <w:t>”</w:t>
            </w:r>
          </w:p>
          <w:p w14:paraId="2CEFEF06" w14:textId="00A3F9FD" w:rsidR="004D36A0" w:rsidRDefault="004D36A0" w:rsidP="004D36A0">
            <w:r>
              <w:rPr>
                <w:b/>
                <w:bCs/>
              </w:rPr>
              <w:t>Note 3: Bullet-proof vests have been adapted to suit women</w:t>
            </w:r>
            <w:r>
              <w:t>.</w:t>
            </w:r>
            <w:r>
              <w:rPr>
                <w:rStyle w:val="FootnoteReference"/>
              </w:rPr>
              <w:footnoteReference w:id="259"/>
            </w:r>
            <w:r w:rsidR="00A00BA6">
              <w:t xml:space="preserve"> This is the first such vest in the world.</w:t>
            </w:r>
          </w:p>
          <w:p w14:paraId="597FD2F9" w14:textId="77777777" w:rsidR="004116DF" w:rsidRPr="00662CBC" w:rsidRDefault="004116DF" w:rsidP="00026009"/>
        </w:tc>
        <w:tc>
          <w:tcPr>
            <w:tcW w:w="949" w:type="pct"/>
            <w:shd w:val="clear" w:color="auto" w:fill="auto"/>
          </w:tcPr>
          <w:p w14:paraId="0078424D" w14:textId="1220CAE5" w:rsidR="009A3709" w:rsidRPr="009A3709" w:rsidRDefault="009A3709" w:rsidP="009A3709">
            <w:pPr>
              <w:rPr>
                <w:b/>
                <w:bCs/>
              </w:rPr>
            </w:pPr>
            <w:r>
              <w:rPr>
                <w:b/>
                <w:bCs/>
              </w:rPr>
              <w:lastRenderedPageBreak/>
              <w:t>No mandatory military service</w:t>
            </w:r>
            <w:r w:rsidRPr="008448A0">
              <w:t>:</w:t>
            </w:r>
          </w:p>
          <w:p w14:paraId="720FD746" w14:textId="77777777" w:rsidR="004116DF" w:rsidRDefault="009A3709" w:rsidP="00026009">
            <w:r>
              <w:t>“</w:t>
            </w:r>
            <w:r w:rsidRPr="009A3709">
              <w:t xml:space="preserve">18 years of age for voluntary service for men and women; all military inductees contract for an initial 5-year term of service, with subsequent successive 3-year </w:t>
            </w:r>
            <w:r w:rsidRPr="009A3709">
              <w:lastRenderedPageBreak/>
              <w:t>terms until age 36; conscription ended in 2006 (2022)</w:t>
            </w:r>
            <w:r>
              <w:t>.”</w:t>
            </w:r>
            <w:r w:rsidR="004116DF" w:rsidRPr="005D2F5A">
              <w:rPr>
                <w:rStyle w:val="FootnoteReference"/>
              </w:rPr>
              <w:footnoteReference w:id="260"/>
            </w:r>
          </w:p>
          <w:p w14:paraId="0B6D0720" w14:textId="75988703" w:rsidR="00190FBC" w:rsidRPr="00662CBC" w:rsidRDefault="00190FBC" w:rsidP="00026009"/>
        </w:tc>
        <w:tc>
          <w:tcPr>
            <w:tcW w:w="677" w:type="pct"/>
            <w:shd w:val="clear" w:color="auto" w:fill="auto"/>
          </w:tcPr>
          <w:p w14:paraId="0DFF6112" w14:textId="77777777" w:rsidR="004116DF" w:rsidRDefault="00000000" w:rsidP="00026009">
            <w:pPr>
              <w:rPr>
                <w:b/>
                <w:bCs/>
              </w:rPr>
            </w:pPr>
            <w:hyperlink r:id="rId103" w:history="1">
              <w:r w:rsidR="0084008E" w:rsidRPr="00257585">
                <w:rPr>
                  <w:rStyle w:val="Hyperlink"/>
                  <w:b/>
                  <w:bCs/>
                </w:rPr>
                <w:t>NAP</w:t>
              </w:r>
              <w:r w:rsidR="00257585" w:rsidRPr="00257585">
                <w:rPr>
                  <w:rStyle w:val="Hyperlink"/>
                  <w:b/>
                  <w:bCs/>
                </w:rPr>
                <w:t xml:space="preserve"> 2014-2024</w:t>
              </w:r>
              <w:r w:rsidR="0084008E" w:rsidRPr="00257585">
                <w:rPr>
                  <w:rStyle w:val="Hyperlink"/>
                  <w:b/>
                  <w:bCs/>
                </w:rPr>
                <w:t xml:space="preserve"> </w:t>
              </w:r>
              <w:r w:rsidR="0084008E" w:rsidRPr="00257585">
                <w:rPr>
                  <w:rStyle w:val="Hyperlink"/>
                </w:rPr>
                <w:t>(</w:t>
              </w:r>
              <w:r w:rsidR="00257585" w:rsidRPr="00257585">
                <w:rPr>
                  <w:rStyle w:val="Hyperlink"/>
                </w:rPr>
                <w:t>2014</w:t>
              </w:r>
              <w:r w:rsidR="0084008E" w:rsidRPr="00257585">
                <w:rPr>
                  <w:rStyle w:val="Hyperlink"/>
                </w:rPr>
                <w:t>)</w:t>
              </w:r>
            </w:hyperlink>
          </w:p>
          <w:p w14:paraId="2FCACC16" w14:textId="77777777" w:rsidR="00B43D2C" w:rsidRDefault="00B43D2C" w:rsidP="00B43D2C">
            <w:pPr>
              <w:pStyle w:val="ListParagraph"/>
              <w:numPr>
                <w:ilvl w:val="0"/>
                <w:numId w:val="21"/>
              </w:numPr>
            </w:pPr>
            <w:r>
              <w:t xml:space="preserve">Dominant focus: Participation </w:t>
            </w:r>
            <w:r>
              <w:rPr>
                <w:rStyle w:val="FootnoteReference"/>
              </w:rPr>
              <w:footnoteReference w:id="261"/>
            </w:r>
          </w:p>
          <w:p w14:paraId="31057A36" w14:textId="77777777" w:rsidR="00B43D2C" w:rsidRDefault="005E3D72" w:rsidP="00B43D2C">
            <w:pPr>
              <w:pStyle w:val="ListParagraph"/>
              <w:numPr>
                <w:ilvl w:val="0"/>
                <w:numId w:val="21"/>
              </w:numPr>
            </w:pPr>
            <w:r>
              <w:lastRenderedPageBreak/>
              <w:t>No precise objectives</w:t>
            </w:r>
            <w:r w:rsidR="00087036">
              <w:rPr>
                <w:rStyle w:val="FootnoteReference"/>
              </w:rPr>
              <w:footnoteReference w:id="262"/>
            </w:r>
          </w:p>
          <w:p w14:paraId="17CD76D9" w14:textId="09635521" w:rsidR="002D1508" w:rsidRPr="00662CBC" w:rsidRDefault="002D1508" w:rsidP="002D1508">
            <w:pPr>
              <w:pStyle w:val="ListParagraph"/>
              <w:ind w:left="284"/>
            </w:pPr>
          </w:p>
        </w:tc>
      </w:tr>
      <w:tr w:rsidR="00CB5BD0" w:rsidRPr="00662CBC" w14:paraId="31F26606" w14:textId="77777777" w:rsidTr="00F37D6B">
        <w:tc>
          <w:tcPr>
            <w:tcW w:w="139" w:type="pct"/>
            <w:shd w:val="clear" w:color="auto" w:fill="auto"/>
          </w:tcPr>
          <w:p w14:paraId="1B0F08D5"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2AD287FB" w14:textId="77777777" w:rsidR="004116DF" w:rsidRPr="00662CBC" w:rsidRDefault="004116DF" w:rsidP="006064D6">
            <w:pPr>
              <w:pStyle w:val="Heading3"/>
            </w:pPr>
            <w:bookmarkStart w:id="43" w:name="_Toc132806726"/>
            <w:r w:rsidRPr="00662CBC">
              <w:t>Russian Federation</w:t>
            </w:r>
            <w:bookmarkEnd w:id="43"/>
            <w:r w:rsidRPr="00662CBC">
              <w:t xml:space="preserve">  </w:t>
            </w:r>
          </w:p>
          <w:p w14:paraId="69B76F4A" w14:textId="77777777" w:rsidR="004116DF" w:rsidRPr="00662CBC" w:rsidRDefault="004116DF" w:rsidP="006064D6">
            <w:pPr>
              <w:rPr>
                <w:szCs w:val="20"/>
              </w:rPr>
            </w:pPr>
          </w:p>
        </w:tc>
        <w:tc>
          <w:tcPr>
            <w:tcW w:w="855" w:type="pct"/>
            <w:shd w:val="clear" w:color="auto" w:fill="auto"/>
          </w:tcPr>
          <w:p w14:paraId="09CD1017" w14:textId="5B7A01C6" w:rsidR="004116DF" w:rsidRPr="0057170A" w:rsidRDefault="0057170A" w:rsidP="00026009">
            <w:r>
              <w:rPr>
                <w:b/>
                <w:bCs/>
              </w:rPr>
              <w:t xml:space="preserve">NDC </w:t>
            </w:r>
            <w:r w:rsidRPr="0057170A">
              <w:rPr>
                <w:b/>
                <w:bCs/>
              </w:rPr>
              <w:t>2020-2030</w:t>
            </w:r>
            <w:r>
              <w:t>: no reference to women or gender</w:t>
            </w:r>
            <w:r w:rsidR="00BE592D">
              <w:rPr>
                <w:rStyle w:val="FootnoteReference"/>
              </w:rPr>
              <w:footnoteReference w:id="263"/>
            </w:r>
          </w:p>
        </w:tc>
        <w:tc>
          <w:tcPr>
            <w:tcW w:w="1023" w:type="pct"/>
            <w:shd w:val="clear" w:color="auto" w:fill="auto"/>
          </w:tcPr>
          <w:p w14:paraId="3AF3C8B6" w14:textId="27A1F362" w:rsidR="004116DF" w:rsidRPr="0045145F" w:rsidRDefault="0045145F" w:rsidP="00026009">
            <w:pPr>
              <w:rPr>
                <w:b/>
                <w:bCs/>
              </w:rPr>
            </w:pPr>
            <w:r>
              <w:rPr>
                <w:b/>
                <w:bCs/>
              </w:rPr>
              <w:t xml:space="preserve">No legislated quotas </w:t>
            </w:r>
          </w:p>
          <w:p w14:paraId="3567CE2E" w14:textId="63FF1A82" w:rsidR="009A5AB3" w:rsidRPr="00F61A24" w:rsidRDefault="009A5AB3" w:rsidP="009A5AB3">
            <w:pPr>
              <w:rPr>
                <w:szCs w:val="20"/>
              </w:rPr>
            </w:pPr>
            <w:r w:rsidRPr="00F61A24">
              <w:rPr>
                <w:b/>
                <w:bCs/>
                <w:szCs w:val="20"/>
              </w:rPr>
              <w:t xml:space="preserve">CEDAW </w:t>
            </w:r>
            <w:r w:rsidR="00483F5A">
              <w:rPr>
                <w:b/>
                <w:bCs/>
                <w:szCs w:val="20"/>
              </w:rPr>
              <w:t>C</w:t>
            </w:r>
            <w:r w:rsidRPr="00F61A24">
              <w:rPr>
                <w:b/>
                <w:bCs/>
                <w:szCs w:val="20"/>
              </w:rPr>
              <w:t xml:space="preserve">oncluding </w:t>
            </w:r>
            <w:r w:rsidR="00483F5A">
              <w:rPr>
                <w:b/>
                <w:bCs/>
                <w:szCs w:val="20"/>
              </w:rPr>
              <w:t>O</w:t>
            </w:r>
            <w:r w:rsidRPr="00F61A24">
              <w:rPr>
                <w:b/>
                <w:bCs/>
                <w:szCs w:val="20"/>
              </w:rPr>
              <w:t>bs. (2021)</w:t>
            </w:r>
            <w:r w:rsidRPr="00F61A24">
              <w:rPr>
                <w:szCs w:val="20"/>
              </w:rPr>
              <w:t>:</w:t>
            </w:r>
          </w:p>
          <w:p w14:paraId="6A5D7FF1" w14:textId="77777777" w:rsidR="009A5AB3" w:rsidRPr="00F61A24" w:rsidRDefault="009A5AB3" w:rsidP="009A5AB3">
            <w:pPr>
              <w:rPr>
                <w:szCs w:val="20"/>
              </w:rPr>
            </w:pPr>
            <w:r w:rsidRPr="00F61A24">
              <w:rPr>
                <w:szCs w:val="20"/>
              </w:rPr>
              <w:t>“20. The Committee notes with concern the limited understanding within the State party of the non-discriminatory nature and importance of temporary special measures for accelerating the achievement of substantive equality between women and men, including statutory quotas, in the public or private sectors, in particular for rural women and women and girls facing intersecting forms of discrimination such as women with disabilities, women belonging to minority groups and indigenous and tribal women.</w:t>
            </w:r>
          </w:p>
          <w:p w14:paraId="3A161CC0" w14:textId="77777777" w:rsidR="00B43325" w:rsidRDefault="00B43325" w:rsidP="00B43325">
            <w:pPr>
              <w:rPr>
                <w:szCs w:val="20"/>
              </w:rPr>
            </w:pPr>
            <w:r w:rsidRPr="00B43325">
              <w:rPr>
                <w:szCs w:val="20"/>
              </w:rPr>
              <w:t>[…] </w:t>
            </w:r>
          </w:p>
          <w:p w14:paraId="6FD3F498" w14:textId="77777777" w:rsidR="00B43325" w:rsidRDefault="00B43325" w:rsidP="00B43325">
            <w:pPr>
              <w:rPr>
                <w:szCs w:val="20"/>
              </w:rPr>
            </w:pPr>
            <w:r w:rsidRPr="00B43325">
              <w:rPr>
                <w:b/>
                <w:bCs/>
                <w:szCs w:val="20"/>
              </w:rPr>
              <w:t xml:space="preserve">Participation in political and public life </w:t>
            </w:r>
          </w:p>
          <w:p w14:paraId="3B6C3527" w14:textId="77777777" w:rsidR="0045145F" w:rsidRDefault="00B43325" w:rsidP="00B43325">
            <w:pPr>
              <w:rPr>
                <w:szCs w:val="20"/>
              </w:rPr>
            </w:pPr>
            <w:r w:rsidRPr="00B43325">
              <w:rPr>
                <w:szCs w:val="20"/>
              </w:rPr>
              <w:t xml:space="preserve">30. The Committee remains concerned about the low representation of women in decision-making positions in political and public life. In that regard, it notes that only two out of 10 Deputy Prime Ministers, one out of 21 federal ministers, 38 out of 170 Federation Council deputies and 74 out of 450 deputies of the State </w:t>
            </w:r>
            <w:r w:rsidRPr="00B43325">
              <w:rPr>
                <w:szCs w:val="20"/>
              </w:rPr>
              <w:lastRenderedPageBreak/>
              <w:t>Duma are women, and that there are only three women ambassadors in the State party’s foreign service. The Committee is also concerned about the lack of targeted measures, including temporary special measures in line with its general recommendation No. 23 (1997) on women in political and public life, to increase women’s representation in public life.</w:t>
            </w:r>
          </w:p>
          <w:p w14:paraId="20023A76" w14:textId="3ACF56CE" w:rsidR="009A5AB3" w:rsidRPr="00B43325" w:rsidRDefault="0045145F" w:rsidP="0045145F">
            <w:pPr>
              <w:rPr>
                <w:b/>
                <w:bCs/>
                <w:szCs w:val="20"/>
              </w:rPr>
            </w:pPr>
            <w:r w:rsidRPr="00F61A24">
              <w:rPr>
                <w:szCs w:val="20"/>
              </w:rPr>
              <w:t xml:space="preserve">[…] The Committee recalls its previous concluding observations (CEDAW/C/RUS/CO/8, para. 28) and recommends […]: </w:t>
            </w:r>
            <w:r w:rsidRPr="00F61A24">
              <w:rPr>
                <w:szCs w:val="20"/>
              </w:rPr>
              <w:br/>
              <w:t xml:space="preserve">(a) </w:t>
            </w:r>
            <w:r w:rsidRPr="00F61A24">
              <w:rPr>
                <w:b/>
                <w:bCs/>
                <w:szCs w:val="20"/>
              </w:rPr>
              <w:t xml:space="preserve">Adopting temporary special measures, including statutory quotas and a gender parity system in the public and foreign services, in line with article 4 (1) of the Convention and the Committee’s general recommendation No. 25, to increase women’s representation in the State Duma, the Federation Council, ministerial positions, the judiciary and the foreign service, and introducing preferential recruitment of women to the civil service and the foreign service, paying particular attention to women </w:t>
            </w:r>
            <w:r w:rsidRPr="00F61A24">
              <w:rPr>
                <w:b/>
                <w:bCs/>
                <w:szCs w:val="20"/>
              </w:rPr>
              <w:lastRenderedPageBreak/>
              <w:t>belonging to disadvantaged and marginalized groups […].</w:t>
            </w:r>
            <w:r w:rsidR="009A5AB3" w:rsidRPr="00F61A24">
              <w:rPr>
                <w:szCs w:val="20"/>
              </w:rPr>
              <w:t>”</w:t>
            </w:r>
            <w:r w:rsidR="009A5AB3" w:rsidRPr="00AA03E7">
              <w:rPr>
                <w:rStyle w:val="FootnoteReference"/>
              </w:rPr>
              <w:footnoteReference w:id="264"/>
            </w:r>
          </w:p>
          <w:p w14:paraId="419EA8EB" w14:textId="59C586B1" w:rsidR="009A5AB3" w:rsidRPr="00662CBC" w:rsidRDefault="009A5AB3" w:rsidP="00026009"/>
        </w:tc>
        <w:tc>
          <w:tcPr>
            <w:tcW w:w="903" w:type="pct"/>
            <w:shd w:val="clear" w:color="auto" w:fill="auto"/>
          </w:tcPr>
          <w:p w14:paraId="3EA3A6FE" w14:textId="77777777" w:rsidR="004116DF" w:rsidRDefault="001D173B" w:rsidP="00026009">
            <w:r>
              <w:lastRenderedPageBreak/>
              <w:t>—</w:t>
            </w:r>
          </w:p>
          <w:p w14:paraId="37675DF1" w14:textId="2A7A9633" w:rsidR="007B26D7" w:rsidRPr="007B26D7" w:rsidRDefault="005B3E7C" w:rsidP="00026009">
            <w:r>
              <w:rPr>
                <w:b/>
                <w:bCs/>
              </w:rPr>
              <w:t xml:space="preserve">Note 1: </w:t>
            </w:r>
            <w:r w:rsidR="007B26D7">
              <w:rPr>
                <w:b/>
                <w:bCs/>
              </w:rPr>
              <w:t>Stereotypes</w:t>
            </w:r>
            <w:r w:rsidR="007B26D7">
              <w:t>:</w:t>
            </w:r>
          </w:p>
          <w:p w14:paraId="46BB3A71" w14:textId="77777777" w:rsidR="007B26D7" w:rsidRDefault="007B26D7" w:rsidP="00026009">
            <w:r>
              <w:t>“</w:t>
            </w:r>
            <w:r w:rsidRPr="007B26D7">
              <w:t>Yet, in modern day Russia, a fairly low number of women serve in the military, despite an expanded force structure approaching one million active duty personnel. Why is this the case? In this piece, I argue that traditional gender roles that emphasize reproduction and high-level doubts about female competency are key factors limiting the role of women in the Russian Armed Forces. Barring a shortage of military-aged males, Moscow’s cost-benefit analysis is unlikely to change, and increased female representation in the Russian military—whether in proportion or scope—remains improbable in the near term.</w:t>
            </w:r>
            <w:r>
              <w:t>”</w:t>
            </w:r>
            <w:r>
              <w:rPr>
                <w:rStyle w:val="FootnoteReference"/>
              </w:rPr>
              <w:footnoteReference w:id="265"/>
            </w:r>
          </w:p>
          <w:p w14:paraId="680D7F4F" w14:textId="77777777" w:rsidR="005B3E7C" w:rsidRDefault="005B3E7C" w:rsidP="00026009"/>
          <w:p w14:paraId="37B5128D" w14:textId="77777777" w:rsidR="005B3E7C" w:rsidRDefault="005B3E7C" w:rsidP="00026009">
            <w:r>
              <w:rPr>
                <w:b/>
                <w:bCs/>
              </w:rPr>
              <w:t xml:space="preserve">Note 2: Restrictions and not adapted equipment and </w:t>
            </w:r>
            <w:proofErr w:type="gramStart"/>
            <w:r>
              <w:rPr>
                <w:b/>
                <w:bCs/>
              </w:rPr>
              <w:t>facilities</w:t>
            </w:r>
            <w:proofErr w:type="gramEnd"/>
          </w:p>
          <w:p w14:paraId="7EC32306" w14:textId="4ADC7D50" w:rsidR="005B3E7C" w:rsidRPr="005B3E7C" w:rsidRDefault="005B3E7C" w:rsidP="00026009">
            <w:r>
              <w:t>“</w:t>
            </w:r>
            <w:r w:rsidRPr="005B3E7C">
              <w:t xml:space="preserve">Once enlisted, women serve in units alongside men rather than </w:t>
            </w:r>
            <w:r w:rsidRPr="005B3E7C">
              <w:lastRenderedPageBreak/>
              <w:t>units segregated by gender. Separate barracks and restrooms are dedicated for women, the costs of which are an oft-cited reason for restricting the proportion of women who serve. Women serve in the Army, Aerospace Forces, Navy (although on certain ships only) and Rocket Forces. However, not all roles are open to women; while the number of countries that allow women to hold combat roles is steadily increasing, Russian women are not permitted in frontline combat roles and are therefore typically restricted from service on aircraft, submarines, or tanks. Though the full list is classified, women are also restricted from being mechanics and from performing sentry duties.</w:t>
            </w:r>
            <w:r>
              <w:t>”</w:t>
            </w:r>
            <w:r>
              <w:rPr>
                <w:rStyle w:val="FootnoteReference"/>
              </w:rPr>
              <w:t xml:space="preserve"> </w:t>
            </w:r>
            <w:r>
              <w:rPr>
                <w:rStyle w:val="FootnoteReference"/>
              </w:rPr>
              <w:footnoteReference w:id="266"/>
            </w:r>
          </w:p>
        </w:tc>
        <w:tc>
          <w:tcPr>
            <w:tcW w:w="949" w:type="pct"/>
            <w:shd w:val="clear" w:color="auto" w:fill="auto"/>
          </w:tcPr>
          <w:p w14:paraId="0B1AD7D9" w14:textId="625A9B9D" w:rsidR="00D20A3C" w:rsidRPr="00D20A3C" w:rsidRDefault="00D20A3C" w:rsidP="00D20A3C">
            <w:r>
              <w:rPr>
                <w:b/>
                <w:bCs/>
              </w:rPr>
              <w:lastRenderedPageBreak/>
              <w:t>M</w:t>
            </w:r>
            <w:r w:rsidRPr="00662CBC">
              <w:rPr>
                <w:b/>
                <w:bCs/>
              </w:rPr>
              <w:t>andatory military service</w:t>
            </w:r>
            <w:r>
              <w:rPr>
                <w:b/>
                <w:bCs/>
              </w:rPr>
              <w:t xml:space="preserve"> for men, voluntary for women and non-Russian citizens</w:t>
            </w:r>
            <w:r>
              <w:t>:</w:t>
            </w:r>
          </w:p>
          <w:p w14:paraId="1FD75F26" w14:textId="77777777" w:rsidR="00D20A3C" w:rsidRPr="005A4CE8" w:rsidRDefault="00D20A3C" w:rsidP="00D20A3C">
            <w:r w:rsidRPr="005A4CE8">
              <w:t>“18-27 years of age for compulsory service for men; 18-40 for voluntary/contractual service; women and non-Russian citizens (18-30) may volunteer; men are registered for the draft at 17 years of age; 12-month service obligation (Russia offers the option of serving on a 24-month contract instead of completing a 12-month conscription period); reserve obligation for non-officers to age 50; enrollment in military schools from the age of 16 (2023)</w:t>
            </w:r>
          </w:p>
          <w:p w14:paraId="2469FAF1" w14:textId="77777777" w:rsidR="00D20A3C" w:rsidRPr="005A4CE8" w:rsidRDefault="00D20A3C" w:rsidP="00D20A3C">
            <w:r w:rsidRPr="005A4CE8">
              <w:rPr>
                <w:b/>
                <w:bCs/>
              </w:rPr>
              <w:t>note 1</w:t>
            </w:r>
            <w:r w:rsidRPr="005A4CE8">
              <w:t>: in May 2022, Russia's parliament approved a law removing the upper age limit for contractual service in the military; in November 2022, President Vladimir PUTIN signed a decree allowing dual-national Russians and those with permanent residency status in foreign countries to be drafted into the army for military service.</w:t>
            </w:r>
          </w:p>
          <w:p w14:paraId="10CCA3A1" w14:textId="77777777" w:rsidR="00D20A3C" w:rsidRPr="005A4CE8" w:rsidRDefault="00D20A3C" w:rsidP="00D20A3C">
            <w:r w:rsidRPr="005A4CE8">
              <w:rPr>
                <w:b/>
                <w:bCs/>
              </w:rPr>
              <w:t>note 2</w:t>
            </w:r>
            <w:r w:rsidRPr="005A4CE8">
              <w:t xml:space="preserve">: the Russian military takes on about 260,000 conscripts each </w:t>
            </w:r>
            <w:r w:rsidRPr="005A4CE8">
              <w:lastRenderedPageBreak/>
              <w:t>year in two semi-annual drafts (Spring and Fall); as of 2021, conscripts comprised an estimated 30% of the Russian military's active duty personnel and most reserve personnel were former conscripts; in April of 2019, the Russian Government pledged its intent to end conscription as part of a decade-long effort to shift from a large, conscript-based military to a smaller, more professional force; an existing law allows for a 21-month alternative civil service for conscripts in hospitals, nursing homes and other facilities for those who view military duty as incompatible with their beliefs, but military conscription offices reportedly often broadly ignore requests for such service.</w:t>
            </w:r>
          </w:p>
          <w:p w14:paraId="15AE142F" w14:textId="77777777" w:rsidR="00D20A3C" w:rsidRPr="005A4CE8" w:rsidRDefault="00D20A3C" w:rsidP="00D20A3C">
            <w:r w:rsidRPr="005A4CE8">
              <w:rPr>
                <w:b/>
                <w:bCs/>
              </w:rPr>
              <w:t>note 3</w:t>
            </w:r>
            <w:r w:rsidRPr="005A4CE8">
              <w:t>: as of 2020, women made up about 5% of the active-duty military.</w:t>
            </w:r>
          </w:p>
          <w:p w14:paraId="2A22CEE2" w14:textId="5E0C0072" w:rsidR="004116DF" w:rsidRPr="00662CBC" w:rsidRDefault="00D20A3C" w:rsidP="00D20A3C">
            <w:r w:rsidRPr="005A4CE8">
              <w:rPr>
                <w:b/>
                <w:bCs/>
              </w:rPr>
              <w:t>note 4</w:t>
            </w:r>
            <w:r w:rsidRPr="005A4CE8">
              <w:t xml:space="preserve">: since 2015, foreigners 18-30 with a good command of Russian have been allowed to join the military on 5-year contracts and become eligible for Russian citizenship after serving 3 years; in October 2022, the Interior </w:t>
            </w:r>
            <w:r w:rsidRPr="005A4CE8">
              <w:lastRenderedPageBreak/>
              <w:t>Ministry opened up recruitment centers for foreigners to sign a 1-year service contract with the armed forces, other troops, or military formations participating in the invasion of Ukraine with the promise of simplifying the process of obtaining Russian citizenship.</w:t>
            </w:r>
            <w:r>
              <w:t>”</w:t>
            </w:r>
            <w:r w:rsidR="004116DF" w:rsidRPr="005D2F5A">
              <w:rPr>
                <w:rStyle w:val="FootnoteReference"/>
              </w:rPr>
              <w:footnoteReference w:id="267"/>
            </w:r>
          </w:p>
        </w:tc>
        <w:tc>
          <w:tcPr>
            <w:tcW w:w="677" w:type="pct"/>
            <w:shd w:val="clear" w:color="auto" w:fill="auto"/>
          </w:tcPr>
          <w:p w14:paraId="1F238D5A" w14:textId="2A0BFB19" w:rsidR="004116DF" w:rsidRPr="00662CBC" w:rsidRDefault="002D1508" w:rsidP="00026009">
            <w:r>
              <w:rPr>
                <w:b/>
                <w:bCs/>
              </w:rPr>
              <w:lastRenderedPageBreak/>
              <w:t xml:space="preserve">No </w:t>
            </w:r>
            <w:r w:rsidR="0084008E">
              <w:rPr>
                <w:b/>
                <w:bCs/>
              </w:rPr>
              <w:t>NAP</w:t>
            </w:r>
          </w:p>
        </w:tc>
      </w:tr>
      <w:tr w:rsidR="00CB5BD0" w:rsidRPr="00662CBC" w14:paraId="454A5596" w14:textId="77777777" w:rsidTr="00F37D6B">
        <w:tc>
          <w:tcPr>
            <w:tcW w:w="139" w:type="pct"/>
            <w:shd w:val="clear" w:color="auto" w:fill="auto"/>
          </w:tcPr>
          <w:p w14:paraId="3B40D417"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41153D03" w14:textId="77777777" w:rsidR="004116DF" w:rsidRPr="00662CBC" w:rsidRDefault="004116DF" w:rsidP="006064D6">
            <w:pPr>
              <w:pStyle w:val="Heading3"/>
            </w:pPr>
            <w:bookmarkStart w:id="44" w:name="_Toc132806727"/>
            <w:r w:rsidRPr="00662CBC">
              <w:t>San Marino</w:t>
            </w:r>
            <w:bookmarkEnd w:id="44"/>
          </w:p>
          <w:p w14:paraId="66D280F1" w14:textId="77777777" w:rsidR="004116DF" w:rsidRPr="00662CBC" w:rsidRDefault="004116DF" w:rsidP="006064D6">
            <w:pPr>
              <w:rPr>
                <w:b/>
                <w:bCs/>
                <w:szCs w:val="20"/>
              </w:rPr>
            </w:pPr>
          </w:p>
        </w:tc>
        <w:tc>
          <w:tcPr>
            <w:tcW w:w="855" w:type="pct"/>
            <w:shd w:val="clear" w:color="auto" w:fill="auto"/>
          </w:tcPr>
          <w:p w14:paraId="044335B0" w14:textId="522E8A13" w:rsidR="004116DF" w:rsidRPr="00662CBC" w:rsidRDefault="00593D96" w:rsidP="00026009">
            <w:r>
              <w:t>—</w:t>
            </w:r>
          </w:p>
        </w:tc>
        <w:tc>
          <w:tcPr>
            <w:tcW w:w="1023" w:type="pct"/>
            <w:shd w:val="clear" w:color="auto" w:fill="auto"/>
          </w:tcPr>
          <w:p w14:paraId="6724A8AB" w14:textId="44289088" w:rsidR="004116DF" w:rsidRPr="00662CBC" w:rsidRDefault="004E1859" w:rsidP="00026009">
            <w:r>
              <w:t>—</w:t>
            </w:r>
          </w:p>
        </w:tc>
        <w:tc>
          <w:tcPr>
            <w:tcW w:w="903" w:type="pct"/>
            <w:shd w:val="clear" w:color="auto" w:fill="auto"/>
          </w:tcPr>
          <w:p w14:paraId="0467870F" w14:textId="633D8AA5" w:rsidR="004116DF" w:rsidRPr="00662CBC" w:rsidRDefault="004E1859" w:rsidP="00026009">
            <w:r>
              <w:t>—</w:t>
            </w:r>
          </w:p>
        </w:tc>
        <w:tc>
          <w:tcPr>
            <w:tcW w:w="949" w:type="pct"/>
            <w:shd w:val="clear" w:color="auto" w:fill="auto"/>
          </w:tcPr>
          <w:p w14:paraId="38CA51E0" w14:textId="689903CE" w:rsidR="00C91B56" w:rsidRDefault="00C91B56" w:rsidP="00026009">
            <w:r>
              <w:rPr>
                <w:b/>
                <w:bCs/>
              </w:rPr>
              <w:t>No mandatory military service.</w:t>
            </w:r>
          </w:p>
          <w:p w14:paraId="7E034AE4" w14:textId="7806F2ED" w:rsidR="004116DF" w:rsidRPr="00662CBC" w:rsidRDefault="006E5310" w:rsidP="00026009">
            <w:r>
              <w:t xml:space="preserve"> </w:t>
            </w:r>
            <w:proofErr w:type="gramStart"/>
            <w:r>
              <w:t xml:space="preserve">“ </w:t>
            </w:r>
            <w:r w:rsidRPr="006E5310">
              <w:t>18</w:t>
            </w:r>
            <w:proofErr w:type="gramEnd"/>
            <w:r w:rsidRPr="006E5310">
              <w:t xml:space="preserve"> is the legal minimum age for voluntary military service; no conscription; government has the authority to call up all San Marino citizens from 16-60 years of age to serve in the military (2023)</w:t>
            </w:r>
            <w:r>
              <w:t>”</w:t>
            </w:r>
            <w:r w:rsidRPr="005D2F5A">
              <w:rPr>
                <w:rStyle w:val="FootnoteReference"/>
              </w:rPr>
              <w:t xml:space="preserve"> </w:t>
            </w:r>
            <w:r w:rsidRPr="005D2F5A">
              <w:rPr>
                <w:rStyle w:val="FootnoteReference"/>
              </w:rPr>
              <w:footnoteReference w:id="268"/>
            </w:r>
          </w:p>
        </w:tc>
        <w:tc>
          <w:tcPr>
            <w:tcW w:w="677" w:type="pct"/>
            <w:shd w:val="clear" w:color="auto" w:fill="auto"/>
          </w:tcPr>
          <w:p w14:paraId="12B5033F" w14:textId="450E3B4A" w:rsidR="0084008E" w:rsidRPr="00662CBC" w:rsidRDefault="004B7771" w:rsidP="00026009">
            <w:r>
              <w:rPr>
                <w:b/>
                <w:bCs/>
              </w:rPr>
              <w:t>No NAP</w:t>
            </w:r>
          </w:p>
        </w:tc>
      </w:tr>
      <w:tr w:rsidR="00CB5BD0" w:rsidRPr="00662CBC" w14:paraId="4ABD5931" w14:textId="77777777" w:rsidTr="00F37D6B">
        <w:tc>
          <w:tcPr>
            <w:tcW w:w="139" w:type="pct"/>
            <w:shd w:val="clear" w:color="auto" w:fill="auto"/>
          </w:tcPr>
          <w:p w14:paraId="4FC24331"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6A9897A0" w14:textId="77777777" w:rsidR="004116DF" w:rsidRPr="00662CBC" w:rsidRDefault="004116DF" w:rsidP="006064D6">
            <w:pPr>
              <w:pStyle w:val="Heading3"/>
              <w:rPr>
                <w:szCs w:val="20"/>
              </w:rPr>
            </w:pPr>
            <w:bookmarkStart w:id="45" w:name="_Toc132806728"/>
            <w:r w:rsidRPr="00662CBC">
              <w:rPr>
                <w:rStyle w:val="SubtleEmphasis"/>
                <w:i w:val="0"/>
                <w:iCs w:val="0"/>
              </w:rPr>
              <w:t>Serbia</w:t>
            </w:r>
            <w:bookmarkEnd w:id="45"/>
            <w:r w:rsidRPr="00662CBC">
              <w:rPr>
                <w:szCs w:val="20"/>
              </w:rPr>
              <w:t xml:space="preserve"> </w:t>
            </w:r>
          </w:p>
          <w:p w14:paraId="7AFDB362" w14:textId="77777777" w:rsidR="004116DF" w:rsidRPr="00662CBC" w:rsidRDefault="004116DF" w:rsidP="006064D6">
            <w:pPr>
              <w:rPr>
                <w:b/>
                <w:bCs/>
                <w:szCs w:val="20"/>
              </w:rPr>
            </w:pPr>
          </w:p>
        </w:tc>
        <w:tc>
          <w:tcPr>
            <w:tcW w:w="855" w:type="pct"/>
            <w:shd w:val="clear" w:color="auto" w:fill="auto"/>
          </w:tcPr>
          <w:p w14:paraId="5BE25FCF" w14:textId="77777777" w:rsidR="004116DF" w:rsidRPr="00662CBC" w:rsidRDefault="004116DF" w:rsidP="00026009">
            <w:pPr>
              <w:rPr>
                <w:rStyle w:val="SubtleEmphasis"/>
                <w:i w:val="0"/>
                <w:iCs w:val="0"/>
              </w:rPr>
            </w:pPr>
          </w:p>
        </w:tc>
        <w:tc>
          <w:tcPr>
            <w:tcW w:w="1023" w:type="pct"/>
            <w:shd w:val="clear" w:color="auto" w:fill="auto"/>
          </w:tcPr>
          <w:p w14:paraId="0716DF2C" w14:textId="7028DD93" w:rsidR="004116DF" w:rsidRDefault="00C44337" w:rsidP="00026009">
            <w:pPr>
              <w:rPr>
                <w:rStyle w:val="SubtleEmphasis"/>
                <w:b/>
                <w:bCs/>
                <w:i w:val="0"/>
                <w:iCs w:val="0"/>
              </w:rPr>
            </w:pPr>
            <w:r>
              <w:rPr>
                <w:rStyle w:val="SubtleEmphasis"/>
                <w:b/>
                <w:bCs/>
                <w:i w:val="0"/>
                <w:iCs w:val="0"/>
              </w:rPr>
              <w:t>Legislated Quota</w:t>
            </w:r>
          </w:p>
          <w:p w14:paraId="137C57D4" w14:textId="77777777" w:rsidR="00875229" w:rsidRPr="00875229" w:rsidRDefault="00000000" w:rsidP="00875229">
            <w:pPr>
              <w:tabs>
                <w:tab w:val="left" w:pos="4042"/>
              </w:tabs>
              <w:jc w:val="left"/>
              <w:rPr>
                <w:b/>
                <w:bCs/>
                <w:szCs w:val="20"/>
              </w:rPr>
            </w:pPr>
            <w:hyperlink r:id="rId104" w:anchor="page=15" w:history="1">
              <w:r w:rsidR="00875229" w:rsidRPr="00875229">
                <w:rPr>
                  <w:rStyle w:val="Hyperlink"/>
                  <w:b/>
                  <w:bCs/>
                  <w:szCs w:val="20"/>
                </w:rPr>
                <w:t>Gender Equality Act, art. 38§2</w:t>
              </w:r>
            </w:hyperlink>
            <w:r w:rsidR="00875229" w:rsidRPr="00875229">
              <w:rPr>
                <w:b/>
                <w:bCs/>
                <w:szCs w:val="20"/>
              </w:rPr>
              <w:t>:</w:t>
            </w:r>
          </w:p>
          <w:p w14:paraId="420D3C4B" w14:textId="77777777" w:rsidR="00875229" w:rsidRDefault="00875229" w:rsidP="00875229">
            <w:pPr>
              <w:tabs>
                <w:tab w:val="left" w:pos="4042"/>
              </w:tabs>
              <w:jc w:val="left"/>
              <w:rPr>
                <w:szCs w:val="20"/>
              </w:rPr>
            </w:pPr>
            <w:r w:rsidRPr="00F61A24">
              <w:rPr>
                <w:szCs w:val="20"/>
              </w:rPr>
              <w:t xml:space="preserve">“Everyone shall be equally entitled to equally and without discrimination participate in international cooperation </w:t>
            </w:r>
            <w:proofErr w:type="spellStart"/>
            <w:r w:rsidRPr="00F61A24">
              <w:rPr>
                <w:szCs w:val="20"/>
              </w:rPr>
              <w:t>realised</w:t>
            </w:r>
            <w:proofErr w:type="spellEnd"/>
            <w:r w:rsidRPr="00F61A24">
              <w:rPr>
                <w:szCs w:val="20"/>
              </w:rPr>
              <w:t xml:space="preserve"> within the foreign policy of the Republic of Serbia, in compliance with the competencies of </w:t>
            </w:r>
            <w:r w:rsidRPr="00F61A24">
              <w:rPr>
                <w:szCs w:val="20"/>
              </w:rPr>
              <w:lastRenderedPageBreak/>
              <w:t xml:space="preserve">the Republic of Serbia, autonomous province and local self-government unit, as well as to be represented and to participate in the work of international </w:t>
            </w:r>
            <w:proofErr w:type="spellStart"/>
            <w:r w:rsidRPr="00F61A24">
              <w:rPr>
                <w:szCs w:val="20"/>
              </w:rPr>
              <w:t>organisations</w:t>
            </w:r>
            <w:proofErr w:type="spellEnd"/>
            <w:r w:rsidRPr="00F61A24">
              <w:rPr>
                <w:szCs w:val="20"/>
              </w:rPr>
              <w:t xml:space="preserve"> and institutions. On the occasion of election or appointment of delegations representing the Republic of Serbia, the composition of the delegations must mandatorily include a minimum of 30% of persons of the less represented sex, in compliance with the international standards. The provisions of paragraph 2 of this Article shall also apply to the international cooperation </w:t>
            </w:r>
            <w:proofErr w:type="spellStart"/>
            <w:r w:rsidRPr="00F61A24">
              <w:rPr>
                <w:szCs w:val="20"/>
              </w:rPr>
              <w:t>realised</w:t>
            </w:r>
            <w:proofErr w:type="spellEnd"/>
            <w:r w:rsidRPr="00F61A24">
              <w:rPr>
                <w:szCs w:val="20"/>
              </w:rPr>
              <w:t xml:space="preserve"> by the autonomous provinces and local self-government units in compliance with the Constitution and competencies prescribed by the laws</w:t>
            </w:r>
            <w:r>
              <w:rPr>
                <w:szCs w:val="20"/>
              </w:rPr>
              <w:t>.</w:t>
            </w:r>
            <w:r w:rsidRPr="00F61A24">
              <w:rPr>
                <w:szCs w:val="20"/>
              </w:rPr>
              <w:t>”</w:t>
            </w:r>
          </w:p>
          <w:p w14:paraId="743DEA58" w14:textId="77777777" w:rsidR="00BD2B2E" w:rsidRPr="00F61A24" w:rsidRDefault="00BD2B2E" w:rsidP="00BD2B2E">
            <w:pPr>
              <w:rPr>
                <w:szCs w:val="20"/>
              </w:rPr>
            </w:pPr>
            <w:r w:rsidRPr="00F61A24">
              <w:rPr>
                <w:b/>
                <w:bCs/>
                <w:szCs w:val="20"/>
              </w:rPr>
              <w:t xml:space="preserve">CEDAW Concluding Observations </w:t>
            </w:r>
            <w:r w:rsidRPr="00F61A24">
              <w:rPr>
                <w:szCs w:val="20"/>
              </w:rPr>
              <w:t>(2019):</w:t>
            </w:r>
          </w:p>
          <w:p w14:paraId="06542B82" w14:textId="77777777" w:rsidR="00BD2B2E" w:rsidRPr="00F61A24" w:rsidRDefault="00BD2B2E" w:rsidP="00BD2B2E">
            <w:pPr>
              <w:spacing w:before="0" w:after="0"/>
              <w:rPr>
                <w:b/>
                <w:bCs/>
                <w:szCs w:val="20"/>
              </w:rPr>
            </w:pPr>
            <w:r w:rsidRPr="00F61A24">
              <w:rPr>
                <w:szCs w:val="20"/>
              </w:rPr>
              <w:t>“28.</w:t>
            </w:r>
            <w:r w:rsidRPr="00F61A24">
              <w:rPr>
                <w:b/>
                <w:bCs/>
                <w:szCs w:val="20"/>
              </w:rPr>
              <w:t xml:space="preserve"> The Committee recommends that the State party:</w:t>
            </w:r>
          </w:p>
          <w:p w14:paraId="6615BF50" w14:textId="77777777" w:rsidR="00BD2B2E" w:rsidRPr="00F61A24" w:rsidRDefault="00BD2B2E" w:rsidP="00BD2B2E">
            <w:pPr>
              <w:spacing w:before="0" w:after="0"/>
              <w:rPr>
                <w:b/>
                <w:bCs/>
                <w:szCs w:val="20"/>
              </w:rPr>
            </w:pPr>
            <w:r w:rsidRPr="00F61A24">
              <w:rPr>
                <w:szCs w:val="20"/>
              </w:rPr>
              <w:t xml:space="preserve">(a) </w:t>
            </w:r>
            <w:r w:rsidRPr="00F61A24">
              <w:rPr>
                <w:b/>
                <w:bCs/>
                <w:szCs w:val="20"/>
              </w:rPr>
              <w:t xml:space="preserve">Accelerate the equal representation of women, including Roma women and women with disabilities, in all areas of political and </w:t>
            </w:r>
            <w:r w:rsidRPr="00F61A24">
              <w:rPr>
                <w:b/>
                <w:bCs/>
                <w:szCs w:val="20"/>
              </w:rPr>
              <w:lastRenderedPageBreak/>
              <w:t>public life, in particular in decision-making positions, at the national and local levels, and in the armed forces and foreign service, and allocate adequate resources for the implementation of such measures;</w:t>
            </w:r>
          </w:p>
          <w:p w14:paraId="1EBDD916" w14:textId="49AEDA33" w:rsidR="00BD2B2E" w:rsidRPr="00C44337" w:rsidRDefault="00BD2B2E" w:rsidP="00C44337">
            <w:pPr>
              <w:spacing w:before="0" w:after="0"/>
              <w:rPr>
                <w:b/>
                <w:bCs/>
                <w:szCs w:val="20"/>
              </w:rPr>
            </w:pPr>
            <w:r w:rsidRPr="00F61A24">
              <w:rPr>
                <w:szCs w:val="20"/>
              </w:rPr>
              <w:t>(b)</w:t>
            </w:r>
            <w:r w:rsidRPr="00F61A24">
              <w:rPr>
                <w:b/>
                <w:bCs/>
                <w:szCs w:val="20"/>
              </w:rPr>
              <w:t xml:space="preserve"> Adopt the new draft law on gender equality, setting 50 per cent quotas for the representation of women in the areas of social life marked by an unbalanced representation of women and men, and extend that quota to all public authorities and administrations;</w:t>
            </w:r>
            <w:r w:rsidRPr="00F61A24">
              <w:rPr>
                <w:szCs w:val="20"/>
              </w:rPr>
              <w:t>”</w:t>
            </w:r>
            <w:r w:rsidRPr="00F61A24">
              <w:rPr>
                <w:rStyle w:val="FootnoteReference"/>
                <w:szCs w:val="20"/>
              </w:rPr>
              <w:t xml:space="preserve"> </w:t>
            </w:r>
            <w:r w:rsidRPr="00AA03E7">
              <w:rPr>
                <w:rStyle w:val="FootnoteReference"/>
              </w:rPr>
              <w:footnoteReference w:id="269"/>
            </w:r>
          </w:p>
          <w:p w14:paraId="78B2AF6E" w14:textId="256CFCF8" w:rsidR="00875229" w:rsidRPr="00875229" w:rsidRDefault="00875229" w:rsidP="00875229">
            <w:pPr>
              <w:tabs>
                <w:tab w:val="left" w:pos="4042"/>
              </w:tabs>
              <w:jc w:val="left"/>
              <w:rPr>
                <w:rStyle w:val="SubtleEmphasis"/>
                <w:i w:val="0"/>
                <w:iCs w:val="0"/>
                <w:szCs w:val="20"/>
              </w:rPr>
            </w:pPr>
          </w:p>
        </w:tc>
        <w:tc>
          <w:tcPr>
            <w:tcW w:w="903" w:type="pct"/>
            <w:shd w:val="clear" w:color="auto" w:fill="auto"/>
          </w:tcPr>
          <w:p w14:paraId="6AB0C701" w14:textId="14C5093E" w:rsidR="004116DF" w:rsidRDefault="00C44337" w:rsidP="00026009">
            <w:pPr>
              <w:rPr>
                <w:rStyle w:val="SubtleEmphasis"/>
                <w:i w:val="0"/>
                <w:iCs w:val="0"/>
              </w:rPr>
            </w:pPr>
            <w:r>
              <w:rPr>
                <w:rStyle w:val="SubtleEmphasis"/>
                <w:i w:val="0"/>
                <w:iCs w:val="0"/>
              </w:rPr>
              <w:lastRenderedPageBreak/>
              <w:t>—</w:t>
            </w:r>
          </w:p>
          <w:p w14:paraId="20EEB440" w14:textId="0A14D334" w:rsidR="00BD2B2E" w:rsidRDefault="00C44337" w:rsidP="00026009">
            <w:pPr>
              <w:rPr>
                <w:rStyle w:val="SubtleEmphasis"/>
                <w:i w:val="0"/>
                <w:iCs w:val="0"/>
              </w:rPr>
            </w:pPr>
            <w:proofErr w:type="spellStart"/>
            <w:r>
              <w:rPr>
                <w:rStyle w:val="SubtleEmphasis"/>
                <w:i w:val="0"/>
                <w:iCs w:val="0"/>
              </w:rPr>
              <w:t>Unlcear</w:t>
            </w:r>
            <w:proofErr w:type="spellEnd"/>
            <w:r>
              <w:rPr>
                <w:rStyle w:val="SubtleEmphasis"/>
                <w:i w:val="0"/>
                <w:iCs w:val="0"/>
              </w:rPr>
              <w:t xml:space="preserve"> if the GEA also applies to the military.</w:t>
            </w:r>
          </w:p>
          <w:p w14:paraId="24FB5905" w14:textId="77777777" w:rsidR="00C44337" w:rsidRDefault="00C44337" w:rsidP="00026009">
            <w:pPr>
              <w:rPr>
                <w:rStyle w:val="SubtleEmphasis"/>
                <w:i w:val="0"/>
                <w:iCs w:val="0"/>
              </w:rPr>
            </w:pPr>
          </w:p>
          <w:p w14:paraId="0085BB78" w14:textId="77777777" w:rsidR="00BD2B2E" w:rsidRPr="00F61A24" w:rsidRDefault="00BD2B2E" w:rsidP="00BD2B2E">
            <w:pPr>
              <w:rPr>
                <w:szCs w:val="20"/>
              </w:rPr>
            </w:pPr>
            <w:r w:rsidRPr="00F61A24">
              <w:rPr>
                <w:b/>
                <w:bCs/>
                <w:szCs w:val="20"/>
              </w:rPr>
              <w:t xml:space="preserve">CEDAW Concluding Observations </w:t>
            </w:r>
            <w:r w:rsidRPr="00F61A24">
              <w:rPr>
                <w:szCs w:val="20"/>
              </w:rPr>
              <w:t>(2019):</w:t>
            </w:r>
          </w:p>
          <w:p w14:paraId="25759142" w14:textId="77777777" w:rsidR="00BD2B2E" w:rsidRPr="00F61A24" w:rsidRDefault="00BD2B2E" w:rsidP="00BD2B2E">
            <w:pPr>
              <w:spacing w:before="0" w:after="0"/>
              <w:rPr>
                <w:b/>
                <w:bCs/>
                <w:szCs w:val="20"/>
              </w:rPr>
            </w:pPr>
            <w:r w:rsidRPr="00F61A24">
              <w:rPr>
                <w:szCs w:val="20"/>
              </w:rPr>
              <w:lastRenderedPageBreak/>
              <w:t>“28.</w:t>
            </w:r>
            <w:r w:rsidRPr="00F61A24">
              <w:rPr>
                <w:b/>
                <w:bCs/>
                <w:szCs w:val="20"/>
              </w:rPr>
              <w:t xml:space="preserve"> The Committee recommends that the State party:</w:t>
            </w:r>
          </w:p>
          <w:p w14:paraId="2A526054" w14:textId="77777777" w:rsidR="00BD2B2E" w:rsidRPr="00F61A24" w:rsidRDefault="00BD2B2E" w:rsidP="00BD2B2E">
            <w:pPr>
              <w:spacing w:before="0" w:after="0"/>
              <w:rPr>
                <w:b/>
                <w:bCs/>
                <w:szCs w:val="20"/>
              </w:rPr>
            </w:pPr>
            <w:r w:rsidRPr="00F61A24">
              <w:rPr>
                <w:szCs w:val="20"/>
              </w:rPr>
              <w:t xml:space="preserve">(a) </w:t>
            </w:r>
            <w:r w:rsidRPr="00F61A24">
              <w:rPr>
                <w:b/>
                <w:bCs/>
                <w:szCs w:val="20"/>
              </w:rPr>
              <w:t>Accelerate the equal representation of women, including Roma women and women with disabilities, in all areas of political and public life, in particular in decision-making positions, at the national and local levels, and in the armed forces and foreign service, and allocate adequate resources for the implementation of such measures;</w:t>
            </w:r>
          </w:p>
          <w:p w14:paraId="35464335" w14:textId="77777777" w:rsidR="00BD2B2E" w:rsidRPr="00F61A24" w:rsidRDefault="00BD2B2E" w:rsidP="00BD2B2E">
            <w:pPr>
              <w:spacing w:before="0" w:after="0"/>
              <w:rPr>
                <w:b/>
                <w:bCs/>
                <w:szCs w:val="20"/>
              </w:rPr>
            </w:pPr>
            <w:r w:rsidRPr="00F61A24">
              <w:rPr>
                <w:szCs w:val="20"/>
              </w:rPr>
              <w:t>(b)</w:t>
            </w:r>
            <w:r w:rsidRPr="00F61A24">
              <w:rPr>
                <w:b/>
                <w:bCs/>
                <w:szCs w:val="20"/>
              </w:rPr>
              <w:t xml:space="preserve"> Adopt the new draft law on gender equality, setting 50 per cent quotas for the representation of women in the areas of social life marked by an unbalanced representation of women and men, and extend that quota to all public authorities and administrations;</w:t>
            </w:r>
            <w:r w:rsidRPr="00F61A24">
              <w:rPr>
                <w:szCs w:val="20"/>
              </w:rPr>
              <w:t>”</w:t>
            </w:r>
            <w:r w:rsidRPr="00F61A24">
              <w:rPr>
                <w:rStyle w:val="FootnoteReference"/>
                <w:szCs w:val="20"/>
              </w:rPr>
              <w:t xml:space="preserve"> </w:t>
            </w:r>
            <w:r w:rsidRPr="00AA03E7">
              <w:rPr>
                <w:rStyle w:val="FootnoteReference"/>
              </w:rPr>
              <w:footnoteReference w:id="270"/>
            </w:r>
          </w:p>
          <w:p w14:paraId="7A00FA54" w14:textId="77777777" w:rsidR="00BD2B2E" w:rsidRPr="00662CBC" w:rsidRDefault="00BD2B2E" w:rsidP="00026009">
            <w:pPr>
              <w:rPr>
                <w:rStyle w:val="SubtleEmphasis"/>
                <w:i w:val="0"/>
                <w:iCs w:val="0"/>
              </w:rPr>
            </w:pPr>
          </w:p>
        </w:tc>
        <w:tc>
          <w:tcPr>
            <w:tcW w:w="949" w:type="pct"/>
            <w:shd w:val="clear" w:color="auto" w:fill="auto"/>
          </w:tcPr>
          <w:p w14:paraId="4CF787FF" w14:textId="4F2913E9" w:rsidR="00C91B56" w:rsidRDefault="00C91B56" w:rsidP="00026009">
            <w:pPr>
              <w:rPr>
                <w:rStyle w:val="SubtleEmphasis"/>
                <w:i w:val="0"/>
                <w:iCs w:val="0"/>
              </w:rPr>
            </w:pPr>
            <w:r>
              <w:rPr>
                <w:b/>
                <w:bCs/>
              </w:rPr>
              <w:lastRenderedPageBreak/>
              <w:t>No mandatory military service.</w:t>
            </w:r>
          </w:p>
          <w:p w14:paraId="006667CE" w14:textId="77777777" w:rsidR="00E266CF" w:rsidRDefault="00E266CF" w:rsidP="00E266CF">
            <w:r>
              <w:rPr>
                <w:rStyle w:val="SubtleEmphasis"/>
                <w:i w:val="0"/>
                <w:iCs w:val="0"/>
              </w:rPr>
              <w:t>“</w:t>
            </w:r>
            <w:r w:rsidRPr="00E266CF">
              <w:t>18 years of age for voluntary military service for men and women; conscription abolished January 2011 (2022)</w:t>
            </w:r>
          </w:p>
          <w:p w14:paraId="7FD34899" w14:textId="527C2A0F" w:rsidR="004116DF" w:rsidRPr="00662CBC" w:rsidRDefault="00E266CF" w:rsidP="00E266CF">
            <w:pPr>
              <w:rPr>
                <w:rStyle w:val="SubtleEmphasis"/>
                <w:i w:val="0"/>
                <w:iCs w:val="0"/>
              </w:rPr>
            </w:pPr>
            <w:r w:rsidRPr="00E266CF">
              <w:rPr>
                <w:b/>
                <w:bCs/>
              </w:rPr>
              <w:lastRenderedPageBreak/>
              <w:t>note:</w:t>
            </w:r>
            <w:r w:rsidRPr="00E266CF">
              <w:t> as of 2021, women made up about 16% of the military's full-time personnel</w:t>
            </w:r>
            <w:r>
              <w:t>”</w:t>
            </w:r>
            <w:r w:rsidR="004116DF" w:rsidRPr="005D2F5A">
              <w:rPr>
                <w:rStyle w:val="FootnoteReference"/>
              </w:rPr>
              <w:footnoteReference w:id="271"/>
            </w:r>
          </w:p>
        </w:tc>
        <w:tc>
          <w:tcPr>
            <w:tcW w:w="677" w:type="pct"/>
            <w:shd w:val="clear" w:color="auto" w:fill="auto"/>
          </w:tcPr>
          <w:p w14:paraId="31BF7B39" w14:textId="5E048523" w:rsidR="004116DF" w:rsidRDefault="00000000" w:rsidP="00026009">
            <w:hyperlink r:id="rId105" w:history="1">
              <w:r w:rsidR="0084008E" w:rsidRPr="00F870BF">
                <w:rPr>
                  <w:rStyle w:val="Hyperlink"/>
                  <w:b/>
                  <w:bCs/>
                </w:rPr>
                <w:t xml:space="preserve">NAP </w:t>
              </w:r>
              <w:r w:rsidR="00F870BF" w:rsidRPr="00F870BF">
                <w:rPr>
                  <w:rStyle w:val="Hyperlink"/>
                  <w:b/>
                  <w:bCs/>
                </w:rPr>
                <w:t xml:space="preserve">2010-2015 </w:t>
              </w:r>
              <w:r w:rsidR="0084008E" w:rsidRPr="00F870BF">
                <w:rPr>
                  <w:rStyle w:val="Hyperlink"/>
                </w:rPr>
                <w:t>(</w:t>
              </w:r>
              <w:r w:rsidR="004B7771" w:rsidRPr="00F870BF">
                <w:rPr>
                  <w:rStyle w:val="Hyperlink"/>
                </w:rPr>
                <w:t>2010</w:t>
              </w:r>
              <w:r w:rsidR="0084008E" w:rsidRPr="00F870BF">
                <w:rPr>
                  <w:rStyle w:val="Hyperlink"/>
                </w:rPr>
                <w:t>)</w:t>
              </w:r>
            </w:hyperlink>
          </w:p>
          <w:p w14:paraId="7F13ABB1" w14:textId="7CC4B535" w:rsidR="004B7771" w:rsidRDefault="00000000" w:rsidP="00026009">
            <w:pPr>
              <w:rPr>
                <w:b/>
                <w:bCs/>
              </w:rPr>
            </w:pPr>
            <w:hyperlink r:id="rId106" w:history="1">
              <w:r w:rsidR="004B7771" w:rsidRPr="00F870BF">
                <w:rPr>
                  <w:rStyle w:val="Hyperlink"/>
                  <w:b/>
                  <w:bCs/>
                </w:rPr>
                <w:t>NAP</w:t>
              </w:r>
              <w:r w:rsidR="00F870BF" w:rsidRPr="00F870BF">
                <w:rPr>
                  <w:rStyle w:val="Hyperlink"/>
                  <w:b/>
                  <w:bCs/>
                </w:rPr>
                <w:t xml:space="preserve"> 2017-2020</w:t>
              </w:r>
              <w:r w:rsidR="004B7771" w:rsidRPr="00F870BF">
                <w:rPr>
                  <w:rStyle w:val="Hyperlink"/>
                  <w:b/>
                  <w:bCs/>
                </w:rPr>
                <w:t xml:space="preserve"> </w:t>
              </w:r>
              <w:r w:rsidR="004B7771" w:rsidRPr="00F870BF">
                <w:rPr>
                  <w:rStyle w:val="Hyperlink"/>
                </w:rPr>
                <w:t>(2017)</w:t>
              </w:r>
            </w:hyperlink>
          </w:p>
          <w:p w14:paraId="1F7B6D36" w14:textId="15FE967F" w:rsidR="00DB0947" w:rsidRDefault="00081366" w:rsidP="00DB0947">
            <w:pPr>
              <w:pStyle w:val="ListParagraph"/>
              <w:numPr>
                <w:ilvl w:val="0"/>
                <w:numId w:val="21"/>
              </w:numPr>
            </w:pPr>
            <w:r>
              <w:t xml:space="preserve">Dominant focus: Participation </w:t>
            </w:r>
            <w:r>
              <w:rPr>
                <w:rStyle w:val="FootnoteReference"/>
              </w:rPr>
              <w:footnoteReference w:id="272"/>
            </w:r>
          </w:p>
          <w:p w14:paraId="129073F6" w14:textId="7789217D" w:rsidR="004B7771" w:rsidRPr="00DB0947" w:rsidRDefault="00280607" w:rsidP="00DB0947">
            <w:pPr>
              <w:pStyle w:val="ListParagraph"/>
              <w:numPr>
                <w:ilvl w:val="0"/>
                <w:numId w:val="21"/>
              </w:numPr>
              <w:rPr>
                <w:rStyle w:val="SubtleEmphasis"/>
                <w:i w:val="0"/>
                <w:iCs w:val="0"/>
              </w:rPr>
            </w:pPr>
            <w:r>
              <w:lastRenderedPageBreak/>
              <w:t xml:space="preserve">No precise </w:t>
            </w:r>
            <w:r w:rsidR="00533F44">
              <w:t>objectives</w:t>
            </w:r>
            <w:r w:rsidR="00B4327F">
              <w:rPr>
                <w:rStyle w:val="FootnoteReference"/>
              </w:rPr>
              <w:footnoteReference w:id="273"/>
            </w:r>
          </w:p>
        </w:tc>
      </w:tr>
      <w:tr w:rsidR="00CB5BD0" w:rsidRPr="00662CBC" w14:paraId="0B7025BA" w14:textId="77777777" w:rsidTr="00F37D6B">
        <w:tc>
          <w:tcPr>
            <w:tcW w:w="139" w:type="pct"/>
            <w:shd w:val="clear" w:color="auto" w:fill="auto"/>
          </w:tcPr>
          <w:p w14:paraId="5D1388D0"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51746F80" w14:textId="77777777" w:rsidR="004116DF" w:rsidRPr="00662CBC" w:rsidRDefault="004116DF" w:rsidP="006064D6">
            <w:pPr>
              <w:pStyle w:val="Heading3"/>
            </w:pPr>
            <w:bookmarkStart w:id="46" w:name="_Toc132806729"/>
            <w:r w:rsidRPr="00662CBC">
              <w:t>Slovak Republic</w:t>
            </w:r>
            <w:bookmarkEnd w:id="46"/>
            <w:r w:rsidRPr="00662CBC">
              <w:t xml:space="preserve"> </w:t>
            </w:r>
          </w:p>
          <w:p w14:paraId="7AE65677" w14:textId="77777777" w:rsidR="004116DF" w:rsidRPr="00662CBC" w:rsidRDefault="004116DF" w:rsidP="006064D6">
            <w:pPr>
              <w:rPr>
                <w:b/>
                <w:bCs/>
                <w:szCs w:val="20"/>
              </w:rPr>
            </w:pPr>
          </w:p>
        </w:tc>
        <w:tc>
          <w:tcPr>
            <w:tcW w:w="855" w:type="pct"/>
            <w:shd w:val="clear" w:color="auto" w:fill="auto"/>
          </w:tcPr>
          <w:p w14:paraId="6FB71D06" w14:textId="786D753F" w:rsidR="004116DF" w:rsidRPr="00662CBC" w:rsidRDefault="004116DF" w:rsidP="00026009">
            <w:r w:rsidRPr="00662CBC">
              <w:t>s. NDC submitted by EU</w:t>
            </w:r>
          </w:p>
        </w:tc>
        <w:tc>
          <w:tcPr>
            <w:tcW w:w="1023" w:type="pct"/>
            <w:shd w:val="clear" w:color="auto" w:fill="auto"/>
          </w:tcPr>
          <w:p w14:paraId="051B28F6" w14:textId="77777777" w:rsidR="004116DF" w:rsidRDefault="004116DF" w:rsidP="00026009">
            <w:pPr>
              <w:rPr>
                <w:b/>
                <w:bCs/>
              </w:rPr>
            </w:pPr>
            <w:r w:rsidRPr="00C44337">
              <w:rPr>
                <w:b/>
                <w:bCs/>
              </w:rPr>
              <w:t>No legislated quota</w:t>
            </w:r>
            <w:r w:rsidRPr="005D2F5A">
              <w:rPr>
                <w:rStyle w:val="FootnoteReference"/>
              </w:rPr>
              <w:footnoteReference w:id="274"/>
            </w:r>
          </w:p>
          <w:p w14:paraId="7DFF0788" w14:textId="77777777" w:rsidR="00C44337" w:rsidRPr="00754360" w:rsidRDefault="00C44337" w:rsidP="00C44337">
            <w:r w:rsidRPr="00754360">
              <w:rPr>
                <w:b/>
                <w:bCs/>
              </w:rPr>
              <w:t>Concluding Observations</w:t>
            </w:r>
            <w:r>
              <w:t xml:space="preserve"> (2015)</w:t>
            </w:r>
          </w:p>
          <w:p w14:paraId="3BD0E604" w14:textId="77777777" w:rsidR="00C44337" w:rsidRDefault="00C44337" w:rsidP="00C44337">
            <w:r>
              <w:rPr>
                <w:b/>
                <w:bCs/>
              </w:rPr>
              <w:t>“</w:t>
            </w:r>
            <w:r w:rsidRPr="00754360">
              <w:rPr>
                <w:b/>
                <w:bCs/>
              </w:rPr>
              <w:t>Participation in political and public life</w:t>
            </w:r>
            <w:r w:rsidRPr="00754360">
              <w:t xml:space="preserve"> </w:t>
            </w:r>
          </w:p>
          <w:p w14:paraId="5814F9CC" w14:textId="77777777" w:rsidR="00C44337" w:rsidRDefault="00C44337" w:rsidP="00C44337">
            <w:r>
              <w:t xml:space="preserve">24. The Committee notes the high level of representation of women in the judiciary, including at the highest level, but is concerned at the low level of representation of women in the </w:t>
            </w:r>
            <w:r>
              <w:lastRenderedPageBreak/>
              <w:t xml:space="preserve">parliament and in the Government at both the national and local levels and the underrepresentation of women in high-ranking positions in the diplomatic service. </w:t>
            </w:r>
          </w:p>
          <w:p w14:paraId="37BFF8DA" w14:textId="77777777" w:rsidR="00C44337" w:rsidRPr="00754360" w:rsidRDefault="00C44337" w:rsidP="00C44337">
            <w:pPr>
              <w:rPr>
                <w:b/>
                <w:bCs/>
              </w:rPr>
            </w:pPr>
            <w:r>
              <w:t xml:space="preserve">25. </w:t>
            </w:r>
            <w:r w:rsidRPr="00754360">
              <w:rPr>
                <w:b/>
                <w:bCs/>
              </w:rPr>
              <w:t xml:space="preserve">The Committee recommends that the State party: </w:t>
            </w:r>
          </w:p>
          <w:p w14:paraId="5ABA92B1" w14:textId="77777777" w:rsidR="00C44337" w:rsidRPr="00754360" w:rsidRDefault="00C44337" w:rsidP="00C44337">
            <w:pPr>
              <w:rPr>
                <w:b/>
                <w:bCs/>
              </w:rPr>
            </w:pPr>
            <w:r w:rsidRPr="00754360">
              <w:t xml:space="preserve">(a) </w:t>
            </w:r>
            <w:r w:rsidRPr="00754360">
              <w:rPr>
                <w:b/>
                <w:bCs/>
              </w:rPr>
              <w:t xml:space="preserve">Take sustained measures, with specific goals and timetables, to accelerate the increase in the number of women in political and public life, in particular in decision-making positions, and monitor their achievement; </w:t>
            </w:r>
          </w:p>
          <w:p w14:paraId="429A85CA" w14:textId="77777777" w:rsidR="00C44337" w:rsidRPr="00754360" w:rsidRDefault="00C44337" w:rsidP="00C44337">
            <w:pPr>
              <w:rPr>
                <w:b/>
                <w:bCs/>
              </w:rPr>
            </w:pPr>
            <w:r w:rsidRPr="00754360">
              <w:t xml:space="preserve">(b) </w:t>
            </w:r>
            <w:r w:rsidRPr="00754360">
              <w:rPr>
                <w:b/>
                <w:bCs/>
              </w:rPr>
              <w:t>Adopt measures, including temporary special measures, such as statutory quotas, to promote the equal representation of women and men in the parliament and political parties, in high-level positions in the public administration at the national and local levels and in the diplomatic service, paying special attention to women belonging to ethnic minority groups</w:t>
            </w:r>
            <w:r w:rsidRPr="00754360">
              <w:t>.</w:t>
            </w:r>
            <w:r>
              <w:t>”</w:t>
            </w:r>
            <w:r>
              <w:rPr>
                <w:rStyle w:val="FootnoteReference"/>
              </w:rPr>
              <w:footnoteReference w:id="275"/>
            </w:r>
          </w:p>
          <w:p w14:paraId="3F299C5D" w14:textId="7039AD37" w:rsidR="00C44337" w:rsidRPr="00662CBC" w:rsidRDefault="00C44337" w:rsidP="00026009"/>
        </w:tc>
        <w:tc>
          <w:tcPr>
            <w:tcW w:w="903" w:type="pct"/>
            <w:shd w:val="clear" w:color="auto" w:fill="auto"/>
          </w:tcPr>
          <w:p w14:paraId="55D8D040" w14:textId="0D66BC62" w:rsidR="004116DF" w:rsidRDefault="00C44337" w:rsidP="00026009">
            <w:r w:rsidRPr="00C44337">
              <w:rPr>
                <w:b/>
                <w:bCs/>
              </w:rPr>
              <w:lastRenderedPageBreak/>
              <w:t>No legislated quota</w:t>
            </w:r>
          </w:p>
          <w:p w14:paraId="79BA19E3" w14:textId="77777777" w:rsidR="00ED41CD" w:rsidRDefault="00ED41CD" w:rsidP="00ED41CD">
            <w:pPr>
              <w:rPr>
                <w:b/>
                <w:bCs/>
              </w:rPr>
            </w:pPr>
            <w:r>
              <w:rPr>
                <w:b/>
                <w:bCs/>
              </w:rPr>
              <w:t>Note:</w:t>
            </w:r>
            <w:r w:rsidRPr="00C50216">
              <w:t xml:space="preserve"> </w:t>
            </w:r>
            <w:r>
              <w:rPr>
                <w:b/>
                <w:bCs/>
              </w:rPr>
              <w:t xml:space="preserve">Suitable military uniforms for both sexes. But not military equipment. </w:t>
            </w:r>
          </w:p>
          <w:p w14:paraId="73801638" w14:textId="77777777" w:rsidR="00ED41CD" w:rsidRDefault="00ED41CD" w:rsidP="00ED41CD">
            <w:r>
              <w:t>“</w:t>
            </w:r>
            <w:r w:rsidRPr="00963536">
              <w:t xml:space="preserve">Military equipment has not been adapted for women and men. Uniforms are designed for </w:t>
            </w:r>
            <w:r w:rsidRPr="00963536">
              <w:lastRenderedPageBreak/>
              <w:t>both women and men of various body compositions.</w:t>
            </w:r>
            <w:r>
              <w:t>”</w:t>
            </w:r>
            <w:r w:rsidRPr="00754360">
              <w:rPr>
                <w:rStyle w:val="FootnoteReference"/>
              </w:rPr>
              <w:t xml:space="preserve"> </w:t>
            </w:r>
            <w:r>
              <w:rPr>
                <w:rStyle w:val="FootnoteReference"/>
              </w:rPr>
              <w:footnoteReference w:id="276"/>
            </w:r>
          </w:p>
          <w:p w14:paraId="3A607F11" w14:textId="77777777" w:rsidR="00ED41CD" w:rsidRPr="00662CBC" w:rsidRDefault="00ED41CD" w:rsidP="00026009"/>
        </w:tc>
        <w:tc>
          <w:tcPr>
            <w:tcW w:w="949" w:type="pct"/>
            <w:shd w:val="clear" w:color="auto" w:fill="auto"/>
          </w:tcPr>
          <w:p w14:paraId="46B0ADDE" w14:textId="77777777" w:rsidR="00C91B56" w:rsidRDefault="00C91B56" w:rsidP="00062D26">
            <w:r>
              <w:rPr>
                <w:b/>
                <w:bCs/>
              </w:rPr>
              <w:lastRenderedPageBreak/>
              <w:t>No mandatory military service.</w:t>
            </w:r>
            <w:r>
              <w:t xml:space="preserve"> </w:t>
            </w:r>
          </w:p>
          <w:p w14:paraId="2C45344C" w14:textId="77777777" w:rsidR="00E266CF" w:rsidRDefault="00062D26" w:rsidP="00062D26">
            <w:r>
              <w:t>“</w:t>
            </w:r>
            <w:r w:rsidRPr="00062D26">
              <w:t>18-30 years of age for voluntary military service for men and women; conscription in peacetime suspended in 2004 (2023)</w:t>
            </w:r>
          </w:p>
          <w:p w14:paraId="63827ED7" w14:textId="35BCEFB8" w:rsidR="004116DF" w:rsidRPr="00662CBC" w:rsidRDefault="00062D26" w:rsidP="00062D26">
            <w:r w:rsidRPr="00062D26">
              <w:rPr>
                <w:b/>
                <w:bCs/>
              </w:rPr>
              <w:lastRenderedPageBreak/>
              <w:t>note:</w:t>
            </w:r>
            <w:r w:rsidRPr="00062D26">
              <w:t> as of 2019, women made up around 12% of the military's full-time personnel</w:t>
            </w:r>
            <w:r w:rsidR="004116DF" w:rsidRPr="005D2F5A">
              <w:rPr>
                <w:rStyle w:val="FootnoteReference"/>
              </w:rPr>
              <w:footnoteReference w:id="277"/>
            </w:r>
          </w:p>
        </w:tc>
        <w:tc>
          <w:tcPr>
            <w:tcW w:w="677" w:type="pct"/>
            <w:shd w:val="clear" w:color="auto" w:fill="auto"/>
          </w:tcPr>
          <w:p w14:paraId="476D1AF4" w14:textId="6395D951" w:rsidR="004116DF" w:rsidRDefault="00000000" w:rsidP="00026009">
            <w:pPr>
              <w:rPr>
                <w:b/>
                <w:bCs/>
              </w:rPr>
            </w:pPr>
            <w:hyperlink r:id="rId107" w:history="1">
              <w:r w:rsidR="00CE583F" w:rsidRPr="00533F44">
                <w:rPr>
                  <w:rStyle w:val="Hyperlink"/>
                  <w:b/>
                  <w:bCs/>
                </w:rPr>
                <w:t xml:space="preserve">NAP </w:t>
              </w:r>
              <w:r w:rsidR="00533F44" w:rsidRPr="00533F44">
                <w:rPr>
                  <w:rStyle w:val="Hyperlink"/>
                  <w:b/>
                  <w:bCs/>
                </w:rPr>
                <w:t>2021-2025</w:t>
              </w:r>
              <w:r w:rsidR="00533F44">
                <w:rPr>
                  <w:rStyle w:val="Hyperlink"/>
                  <w:b/>
                  <w:bCs/>
                </w:rPr>
                <w:t xml:space="preserve"> </w:t>
              </w:r>
              <w:r w:rsidR="00CE583F" w:rsidRPr="00533F44">
                <w:rPr>
                  <w:rStyle w:val="Hyperlink"/>
                </w:rPr>
                <w:t>(</w:t>
              </w:r>
              <w:r w:rsidR="00533F44">
                <w:rPr>
                  <w:rStyle w:val="Hyperlink"/>
                </w:rPr>
                <w:t>2020</w:t>
              </w:r>
              <w:r w:rsidR="00CE583F" w:rsidRPr="00533F44">
                <w:rPr>
                  <w:rStyle w:val="Hyperlink"/>
                </w:rPr>
                <w:t>)</w:t>
              </w:r>
            </w:hyperlink>
          </w:p>
          <w:p w14:paraId="22F77C81" w14:textId="1B647764" w:rsidR="00533F44" w:rsidRPr="00662CBC" w:rsidRDefault="005768C8" w:rsidP="00D81A63">
            <w:pPr>
              <w:pStyle w:val="ListParagraph"/>
              <w:numPr>
                <w:ilvl w:val="0"/>
                <w:numId w:val="21"/>
              </w:numPr>
            </w:pPr>
            <w:r>
              <w:t>No precise objectives, nor real participation indicators</w:t>
            </w:r>
            <w:r w:rsidR="00352224">
              <w:rPr>
                <w:rStyle w:val="FootnoteReference"/>
              </w:rPr>
              <w:footnoteReference w:id="278"/>
            </w:r>
          </w:p>
        </w:tc>
      </w:tr>
      <w:tr w:rsidR="00CB5BD0" w:rsidRPr="00662CBC" w14:paraId="51B2F254" w14:textId="77777777" w:rsidTr="00F37D6B">
        <w:tc>
          <w:tcPr>
            <w:tcW w:w="139" w:type="pct"/>
            <w:shd w:val="clear" w:color="auto" w:fill="auto"/>
          </w:tcPr>
          <w:p w14:paraId="68640146"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5F91B6D1" w14:textId="77777777" w:rsidR="004116DF" w:rsidRPr="00662CBC" w:rsidRDefault="004116DF" w:rsidP="006064D6">
            <w:pPr>
              <w:pStyle w:val="Heading3"/>
            </w:pPr>
            <w:bookmarkStart w:id="47" w:name="_Toc132806730"/>
            <w:r w:rsidRPr="00662CBC">
              <w:t>Slovenia</w:t>
            </w:r>
            <w:bookmarkEnd w:id="47"/>
            <w:r w:rsidRPr="00662CBC">
              <w:t xml:space="preserve"> </w:t>
            </w:r>
          </w:p>
          <w:p w14:paraId="741F4857" w14:textId="77777777" w:rsidR="004116DF" w:rsidRPr="00662CBC" w:rsidRDefault="004116DF" w:rsidP="006064D6">
            <w:pPr>
              <w:rPr>
                <w:b/>
                <w:bCs/>
                <w:szCs w:val="20"/>
              </w:rPr>
            </w:pPr>
          </w:p>
        </w:tc>
        <w:tc>
          <w:tcPr>
            <w:tcW w:w="855" w:type="pct"/>
            <w:shd w:val="clear" w:color="auto" w:fill="auto"/>
          </w:tcPr>
          <w:p w14:paraId="5B167DF1" w14:textId="1A37D864" w:rsidR="004116DF" w:rsidRPr="00662CBC" w:rsidRDefault="004116DF" w:rsidP="00026009">
            <w:pPr>
              <w:rPr>
                <w:b/>
                <w:bCs/>
              </w:rPr>
            </w:pPr>
            <w:r w:rsidRPr="00662CBC">
              <w:lastRenderedPageBreak/>
              <w:t>s. NDC submitted by EU</w:t>
            </w:r>
          </w:p>
        </w:tc>
        <w:tc>
          <w:tcPr>
            <w:tcW w:w="1023" w:type="pct"/>
            <w:shd w:val="clear" w:color="auto" w:fill="auto"/>
          </w:tcPr>
          <w:p w14:paraId="392A2318" w14:textId="1C194633" w:rsidR="00C0726E" w:rsidRDefault="00C91A40" w:rsidP="00C0726E">
            <w:pPr>
              <w:spacing w:after="0"/>
              <w:rPr>
                <w:b/>
                <w:bCs/>
              </w:rPr>
            </w:pPr>
            <w:r>
              <w:rPr>
                <w:b/>
                <w:bCs/>
              </w:rPr>
              <w:t>—</w:t>
            </w:r>
          </w:p>
          <w:p w14:paraId="6ABB24AC" w14:textId="77777777" w:rsidR="003A13D5" w:rsidRPr="00963536" w:rsidRDefault="003A13D5" w:rsidP="003A13D5">
            <w:r>
              <w:rPr>
                <w:b/>
                <w:bCs/>
              </w:rPr>
              <w:lastRenderedPageBreak/>
              <w:t xml:space="preserve">State Report </w:t>
            </w:r>
            <w:r>
              <w:t>(2021):</w:t>
            </w:r>
          </w:p>
          <w:p w14:paraId="287ABDC4" w14:textId="77777777" w:rsidR="003A13D5" w:rsidRDefault="003A13D5" w:rsidP="003A13D5">
            <w:r>
              <w:t>“</w:t>
            </w:r>
            <w:r w:rsidRPr="00963536">
              <w:t>116. The inclusion of women and men in atypical professions as referring to gender, is greatly considered in the Slovenian Armed Forces, the Police and diplomacy. The share of women in the Slovenian Armed Forces is 16.5 per cent and 10.3 per cent on missions (2019). In 2018, a woman was appointed the Chief of the General Staff of the Slovenian Armed Forces for the first time in Slovenia and in NATO. Women take a 26 per cent share in the Police and 5 per cent of women take the highest ranks (2020). In 2018, a woman was appointed the Director General of the Police for the first time. 41.3 per cent of women hold the positions of ambassadors.</w:t>
            </w:r>
            <w:r>
              <w:t>”</w:t>
            </w:r>
            <w:r>
              <w:rPr>
                <w:rStyle w:val="FootnoteReference"/>
              </w:rPr>
              <w:footnoteReference w:id="279"/>
            </w:r>
          </w:p>
          <w:p w14:paraId="541CAA39" w14:textId="77777777" w:rsidR="003A13D5" w:rsidRDefault="003A13D5" w:rsidP="00C0726E">
            <w:pPr>
              <w:spacing w:after="0"/>
              <w:rPr>
                <w:b/>
                <w:bCs/>
              </w:rPr>
            </w:pPr>
          </w:p>
          <w:p w14:paraId="02696292" w14:textId="68659E7C" w:rsidR="003A13D5" w:rsidRPr="003A13D5" w:rsidRDefault="003A13D5" w:rsidP="00C0726E">
            <w:pPr>
              <w:spacing w:after="0"/>
              <w:rPr>
                <w:b/>
                <w:bCs/>
              </w:rPr>
            </w:pPr>
            <w:r>
              <w:rPr>
                <w:b/>
                <w:bCs/>
              </w:rPr>
              <w:lastRenderedPageBreak/>
              <w:t xml:space="preserve">Obligations for </w:t>
            </w:r>
            <w:r w:rsidRPr="003A13D5">
              <w:rPr>
                <w:b/>
                <w:bCs/>
              </w:rPr>
              <w:t>gender-balanced representation</w:t>
            </w:r>
          </w:p>
          <w:p w14:paraId="0782146B" w14:textId="6BB53819" w:rsidR="00C91A40" w:rsidRPr="00963536" w:rsidRDefault="00C91A40" w:rsidP="00C91A40">
            <w:r w:rsidRPr="00963536">
              <w:t>"Furthermore, according to the RCRPGBR</w:t>
            </w:r>
            <w:r w:rsidR="00AA1385">
              <w:t xml:space="preserve"> </w:t>
            </w:r>
            <w:r w:rsidR="00AA1385" w:rsidRPr="00AA1385">
              <w:t>[Regulation on criteria for respecting the principle of gender-balanced representation]</w:t>
            </w:r>
            <w:r w:rsidRPr="00963536">
              <w:t>, the principle of gender-balanced representation must be applied in the composition of governmental bodies; in nominating or appointing Government representatives in public enterprises and other entities of public law; and in the composition of expert councils, established by ministers. The principle is therefore applied when the representation of one sex is at least 40 %."</w:t>
            </w:r>
            <w:r w:rsidRPr="00963536">
              <w:rPr>
                <w:rStyle w:val="FootnoteReference"/>
              </w:rPr>
              <w:footnoteReference w:id="280"/>
            </w:r>
          </w:p>
          <w:p w14:paraId="2455F855" w14:textId="77777777" w:rsidR="00C91A40" w:rsidRDefault="00C91A40" w:rsidP="00C91A40">
            <w:pPr>
              <w:rPr>
                <w:b/>
                <w:bCs/>
              </w:rPr>
            </w:pPr>
          </w:p>
          <w:p w14:paraId="6A48D78C" w14:textId="77777777" w:rsidR="00C91A40" w:rsidRDefault="00C91A40" w:rsidP="00C0726E">
            <w:pPr>
              <w:spacing w:after="0"/>
              <w:rPr>
                <w:b/>
                <w:bCs/>
              </w:rPr>
            </w:pPr>
          </w:p>
          <w:p w14:paraId="636C9CB6" w14:textId="7E66647E" w:rsidR="00C0726E" w:rsidRPr="00220FBE" w:rsidRDefault="00C0726E" w:rsidP="00C0726E">
            <w:pPr>
              <w:spacing w:after="0"/>
              <w:rPr>
                <w:b/>
                <w:bCs/>
              </w:rPr>
            </w:pPr>
            <w:r>
              <w:rPr>
                <w:b/>
                <w:bCs/>
              </w:rPr>
              <w:t xml:space="preserve">Note 1: Current </w:t>
            </w:r>
            <w:proofErr w:type="gramStart"/>
            <w:r>
              <w:rPr>
                <w:b/>
                <w:bCs/>
              </w:rPr>
              <w:t>numbers</w:t>
            </w:r>
            <w:proofErr w:type="gramEnd"/>
          </w:p>
          <w:p w14:paraId="58C4EA27" w14:textId="77777777" w:rsidR="00C0726E" w:rsidRDefault="00C0726E" w:rsidP="00C0726E">
            <w:r>
              <w:t>“</w:t>
            </w:r>
            <w:r w:rsidRPr="00235569">
              <w:t xml:space="preserve">The percentage of women in SAF structure has gradually increased. It is now at to 16.7% (2020). There are no lawfully forbidden areas for servicewomen, nor </w:t>
            </w:r>
            <w:proofErr w:type="spellStart"/>
            <w:r w:rsidRPr="00235569">
              <w:t>programmes</w:t>
            </w:r>
            <w:proofErr w:type="spellEnd"/>
            <w:r w:rsidRPr="00235569">
              <w:t xml:space="preserve"> or disciplines excluding women in the SAF. Nowadays, representation of women is ensured in SAF units and commands at all levels. Women in the </w:t>
            </w:r>
            <w:r w:rsidRPr="00235569">
              <w:lastRenderedPageBreak/>
              <w:t>SAF hold high positions both at home and abroad.</w:t>
            </w:r>
          </w:p>
          <w:p w14:paraId="1557B38F" w14:textId="77777777" w:rsidR="00C0726E" w:rsidRPr="00235569" w:rsidRDefault="00C0726E" w:rsidP="00C0726E">
            <w:r w:rsidRPr="00235569">
              <w:t xml:space="preserve">Positions of women in the SAF range from the tactical level (e.g. platoon commanders) up to positions at the strategic level (e.g. heads of sections, divisions, joint division, chiefs of staff, and up to the chief of </w:t>
            </w:r>
            <w:proofErr w:type="spellStart"/>
            <w:r w:rsidRPr="00235569">
              <w:t>defence</w:t>
            </w:r>
            <w:proofErr w:type="spellEnd"/>
            <w:r w:rsidRPr="00235569">
              <w:t xml:space="preserve">). This goes for appointments and abroad as well. The first woman Military Attaché of the SAF was appointed in 2014, and the second in 2018. Another successful example is a SAF servicewoman who was selected for the position of Director at the international organization (CISM) in 2009. She was also Deputy Secretary General of this worldwide </w:t>
            </w:r>
            <w:proofErr w:type="spellStart"/>
            <w:r w:rsidRPr="00235569">
              <w:t>organisation</w:t>
            </w:r>
            <w:proofErr w:type="spellEnd"/>
            <w:r w:rsidRPr="00235569">
              <w:t xml:space="preserve">. Within the NATO structure, two additional examples can be listed: In 2012, a colonel was appointed to Allied Command Transformation (ACT/NATO) as National Liaison Representative; and in 2013 the position of Dean of the NATO </w:t>
            </w:r>
            <w:proofErr w:type="spellStart"/>
            <w:r w:rsidRPr="00235569">
              <w:t>Defence</w:t>
            </w:r>
            <w:proofErr w:type="spellEnd"/>
            <w:r w:rsidRPr="00235569">
              <w:t xml:space="preserve"> College (NDC) was taken by a member of the Slovenian MoD. The 2018 appointment of the first Slovenian woman general to the position of Chief of General Staff and the first woman Chief of </w:t>
            </w:r>
            <w:proofErr w:type="spellStart"/>
            <w:r w:rsidRPr="00235569">
              <w:t>Defence</w:t>
            </w:r>
            <w:proofErr w:type="spellEnd"/>
            <w:r w:rsidRPr="00235569">
              <w:t xml:space="preserve"> (CHOD) were a historical achievements. It was a direct result of the successful implementation of the gender equality </w:t>
            </w:r>
            <w:r w:rsidRPr="00235569">
              <w:lastRenderedPageBreak/>
              <w:t>policy within the SAF. The gender equality policy enables the development of an individual's competencies throughout their military career regardless of their gender.</w:t>
            </w:r>
            <w:r>
              <w:t>”</w:t>
            </w:r>
            <w:r w:rsidRPr="00235569">
              <w:rPr>
                <w:rStyle w:val="FootnoteReference"/>
              </w:rPr>
              <w:t xml:space="preserve"> </w:t>
            </w:r>
            <w:r>
              <w:rPr>
                <w:rStyle w:val="FootnoteReference"/>
              </w:rPr>
              <w:footnoteReference w:id="281"/>
            </w:r>
          </w:p>
          <w:p w14:paraId="6090432C" w14:textId="77777777" w:rsidR="00C0726E" w:rsidRDefault="00C0726E" w:rsidP="00C0726E">
            <w:pPr>
              <w:rPr>
                <w:b/>
                <w:bCs/>
              </w:rPr>
            </w:pPr>
            <w:r>
              <w:rPr>
                <w:b/>
                <w:bCs/>
              </w:rPr>
              <w:t>Note 2</w:t>
            </w:r>
            <w:r w:rsidRPr="00C50216">
              <w:t xml:space="preserve">: </w:t>
            </w:r>
            <w:r>
              <w:rPr>
                <w:b/>
                <w:bCs/>
              </w:rPr>
              <w:t>Suitable military equipment/facilities/uniforms for both sexes.</w:t>
            </w:r>
          </w:p>
          <w:p w14:paraId="196DE11A" w14:textId="77777777" w:rsidR="00C0726E" w:rsidRPr="00235569" w:rsidRDefault="00C0726E" w:rsidP="00C0726E">
            <w:r>
              <w:t>“</w:t>
            </w:r>
            <w:r w:rsidRPr="00235569">
              <w:t>In the SAF, military equipment includes wide range of sizes, including smaller sizes (e.g. helmets and boots) which fit women and men. Military facilities are separate for women and men. Combat, service and gala uniforms are designed to fit both women and men of various body compositions.</w:t>
            </w:r>
            <w:r>
              <w:t>”</w:t>
            </w:r>
            <w:r>
              <w:rPr>
                <w:rStyle w:val="FootnoteReference"/>
              </w:rPr>
              <w:footnoteReference w:id="282"/>
            </w:r>
          </w:p>
          <w:p w14:paraId="49DD4FEB" w14:textId="4E242118" w:rsidR="004116DF" w:rsidRPr="00662CBC" w:rsidRDefault="004116DF" w:rsidP="00026009">
            <w:pPr>
              <w:rPr>
                <w:b/>
                <w:bCs/>
              </w:rPr>
            </w:pPr>
          </w:p>
        </w:tc>
        <w:tc>
          <w:tcPr>
            <w:tcW w:w="903" w:type="pct"/>
            <w:shd w:val="clear" w:color="auto" w:fill="auto"/>
          </w:tcPr>
          <w:p w14:paraId="75DF1FC3" w14:textId="4AFC29F7" w:rsidR="006F56F4" w:rsidRDefault="003A13D5" w:rsidP="006F56F4">
            <w:r>
              <w:lastRenderedPageBreak/>
              <w:t>—</w:t>
            </w:r>
          </w:p>
          <w:p w14:paraId="21FC65A1" w14:textId="0B052768" w:rsidR="006F56F4" w:rsidRPr="006F56F4" w:rsidRDefault="006F56F4" w:rsidP="006F56F4">
            <w:pPr>
              <w:rPr>
                <w:b/>
                <w:bCs/>
              </w:rPr>
            </w:pPr>
            <w:r>
              <w:rPr>
                <w:b/>
                <w:bCs/>
              </w:rPr>
              <w:lastRenderedPageBreak/>
              <w:t>Note: Rise in leadership positions</w:t>
            </w:r>
          </w:p>
          <w:p w14:paraId="67622446" w14:textId="39D685FD" w:rsidR="006F56F4" w:rsidRDefault="006F56F4" w:rsidP="006F56F4">
            <w:r>
              <w:t>“</w:t>
            </w:r>
            <w:r w:rsidRPr="00807FCB">
              <w:t>In the 2010-2016 period, the share of women serving in international operations and civilian missions ranged between 6.8% and 9.5% in the SAF, and between 12.5% and 21.7% in the Police Force. While the proportion of women employed in the SAF and the Police Force did not change significantly, the proportion of women in decision-making positions, including in the SAF and the Police Force, is increasing. During this period, Slovenia ranks second in the number of women in the armed forces in NATO.</w:t>
            </w:r>
            <w:r>
              <w:t>”</w:t>
            </w:r>
            <w:r>
              <w:rPr>
                <w:rStyle w:val="FootnoteReference"/>
              </w:rPr>
              <w:footnoteReference w:id="283"/>
            </w:r>
          </w:p>
          <w:p w14:paraId="067ED69E" w14:textId="77777777" w:rsidR="003A13D5" w:rsidRDefault="003A13D5" w:rsidP="006F56F4"/>
          <w:p w14:paraId="280BB619" w14:textId="77777777" w:rsidR="003A13D5" w:rsidRPr="00963536" w:rsidRDefault="003A13D5" w:rsidP="003A13D5">
            <w:r>
              <w:rPr>
                <w:b/>
                <w:bCs/>
              </w:rPr>
              <w:t xml:space="preserve">State Report </w:t>
            </w:r>
            <w:r>
              <w:t>(2021):</w:t>
            </w:r>
          </w:p>
          <w:p w14:paraId="6455968D" w14:textId="77777777" w:rsidR="003A13D5" w:rsidRDefault="003A13D5" w:rsidP="003A13D5">
            <w:r>
              <w:lastRenderedPageBreak/>
              <w:t>“</w:t>
            </w:r>
            <w:r w:rsidRPr="00963536">
              <w:t>116. The inclusion of women and men in atypical professions as referring to gender, is greatly considered in the Slovenian Armed Forces, the Police and diplomacy. The share of women in the Slovenian Armed Forces is 16.5 per cent and 10.3 per cent on missions (2019). In 2018, a woman was appointed the Chief of the General Staff of the Slovenian Armed Forces for the first time in Slovenia and in NATO. Women take a 26 per cent share in the Police and 5 per cent of women take the highest ranks (2020). In 2018, a woman was appointed the Director General of the Police for the first time. 41.3 per cent of women hold the positions of ambassadors.</w:t>
            </w:r>
            <w:r>
              <w:t>”</w:t>
            </w:r>
            <w:r>
              <w:rPr>
                <w:rStyle w:val="FootnoteReference"/>
              </w:rPr>
              <w:footnoteReference w:id="284"/>
            </w:r>
          </w:p>
          <w:p w14:paraId="1224C7A5" w14:textId="77777777" w:rsidR="003A13D5" w:rsidRDefault="003A13D5" w:rsidP="006F56F4"/>
          <w:p w14:paraId="4A4FB885" w14:textId="77777777" w:rsidR="004116DF" w:rsidRPr="00662CBC" w:rsidRDefault="004116DF" w:rsidP="00026009"/>
        </w:tc>
        <w:tc>
          <w:tcPr>
            <w:tcW w:w="949" w:type="pct"/>
            <w:shd w:val="clear" w:color="auto" w:fill="auto"/>
          </w:tcPr>
          <w:p w14:paraId="4E2F1C97" w14:textId="77777777" w:rsidR="00C91B56" w:rsidRDefault="00C91B56" w:rsidP="00422A5B">
            <w:pPr>
              <w:rPr>
                <w:b/>
                <w:bCs/>
              </w:rPr>
            </w:pPr>
            <w:r>
              <w:rPr>
                <w:b/>
                <w:bCs/>
              </w:rPr>
              <w:lastRenderedPageBreak/>
              <w:t>No mandatory military service.</w:t>
            </w:r>
          </w:p>
          <w:p w14:paraId="55915A1B" w14:textId="54C2BF3B" w:rsidR="00422A5B" w:rsidRDefault="00422A5B" w:rsidP="00422A5B">
            <w:r>
              <w:lastRenderedPageBreak/>
              <w:t>“18-25 years of age for voluntary military service for men and women; must be a citizen of the Republic of Slovenia; recruits sign up for 3-, 5-, or 10-year service contracts; conscription abolished in 2003 (2023)</w:t>
            </w:r>
          </w:p>
          <w:p w14:paraId="0B24E083" w14:textId="485F6D84" w:rsidR="004116DF" w:rsidRPr="00662CBC" w:rsidRDefault="00422A5B" w:rsidP="00422A5B">
            <w:r w:rsidRPr="00422A5B">
              <w:rPr>
                <w:b/>
                <w:bCs/>
              </w:rPr>
              <w:t>note</w:t>
            </w:r>
            <w:r>
              <w:t>: as of 2019, women comprised about 15% of the military's full-time personnel.”</w:t>
            </w:r>
            <w:r w:rsidR="004116DF" w:rsidRPr="005D2F5A">
              <w:rPr>
                <w:rStyle w:val="FootnoteReference"/>
              </w:rPr>
              <w:footnoteReference w:id="285"/>
            </w:r>
          </w:p>
        </w:tc>
        <w:tc>
          <w:tcPr>
            <w:tcW w:w="677" w:type="pct"/>
            <w:shd w:val="clear" w:color="auto" w:fill="auto"/>
          </w:tcPr>
          <w:p w14:paraId="0AB3A730" w14:textId="56FC15EC" w:rsidR="004116DF" w:rsidRDefault="00000000" w:rsidP="00026009">
            <w:hyperlink r:id="rId108" w:history="1">
              <w:r w:rsidR="00CE583F" w:rsidRPr="005768C8">
                <w:rPr>
                  <w:rStyle w:val="Hyperlink"/>
                  <w:b/>
                  <w:bCs/>
                </w:rPr>
                <w:t>NAP</w:t>
              </w:r>
              <w:r w:rsidR="005768C8" w:rsidRPr="005768C8">
                <w:rPr>
                  <w:rStyle w:val="Hyperlink"/>
                  <w:b/>
                  <w:bCs/>
                </w:rPr>
                <w:t xml:space="preserve"> 2010-2015</w:t>
              </w:r>
              <w:r w:rsidR="00CE583F" w:rsidRPr="005768C8">
                <w:rPr>
                  <w:rStyle w:val="Hyperlink"/>
                  <w:b/>
                  <w:bCs/>
                </w:rPr>
                <w:t xml:space="preserve"> </w:t>
              </w:r>
              <w:r w:rsidR="00CE583F" w:rsidRPr="005768C8">
                <w:rPr>
                  <w:rStyle w:val="Hyperlink"/>
                </w:rPr>
                <w:t>(</w:t>
              </w:r>
              <w:r w:rsidR="009636C3">
                <w:rPr>
                  <w:rStyle w:val="Hyperlink"/>
                </w:rPr>
                <w:t>2010</w:t>
              </w:r>
              <w:r w:rsidR="00CE583F" w:rsidRPr="005768C8">
                <w:rPr>
                  <w:rStyle w:val="Hyperlink"/>
                </w:rPr>
                <w:t>)</w:t>
              </w:r>
            </w:hyperlink>
          </w:p>
          <w:p w14:paraId="07A0956D" w14:textId="311EE419" w:rsidR="005768C8" w:rsidRDefault="00000000" w:rsidP="00026009">
            <w:hyperlink r:id="rId109" w:history="1">
              <w:r w:rsidR="005768C8" w:rsidRPr="00EC10D2">
                <w:rPr>
                  <w:rStyle w:val="Hyperlink"/>
                  <w:b/>
                  <w:bCs/>
                </w:rPr>
                <w:t>NAP</w:t>
              </w:r>
              <w:r w:rsidR="00EC10D2" w:rsidRPr="00EC10D2">
                <w:rPr>
                  <w:rStyle w:val="Hyperlink"/>
                  <w:b/>
                  <w:bCs/>
                </w:rPr>
                <w:t xml:space="preserve"> 2018-2020</w:t>
              </w:r>
              <w:r w:rsidR="005768C8" w:rsidRPr="00EC10D2">
                <w:rPr>
                  <w:rStyle w:val="Hyperlink"/>
                  <w:b/>
                  <w:bCs/>
                </w:rPr>
                <w:t xml:space="preserve"> </w:t>
              </w:r>
              <w:r w:rsidR="005768C8" w:rsidRPr="00EC10D2">
                <w:rPr>
                  <w:rStyle w:val="Hyperlink"/>
                </w:rPr>
                <w:t>(</w:t>
              </w:r>
              <w:r w:rsidR="00EC10D2" w:rsidRPr="00EC10D2">
                <w:rPr>
                  <w:rStyle w:val="Hyperlink"/>
                </w:rPr>
                <w:t>2018</w:t>
              </w:r>
              <w:r w:rsidR="005768C8" w:rsidRPr="00EC10D2">
                <w:rPr>
                  <w:rStyle w:val="Hyperlink"/>
                </w:rPr>
                <w:t>)</w:t>
              </w:r>
            </w:hyperlink>
          </w:p>
          <w:p w14:paraId="76889CAA" w14:textId="77777777" w:rsidR="009D795E" w:rsidRDefault="009D795E" w:rsidP="009D795E">
            <w:pPr>
              <w:pStyle w:val="ListParagraph"/>
              <w:numPr>
                <w:ilvl w:val="0"/>
                <w:numId w:val="21"/>
              </w:numPr>
            </w:pPr>
            <w:r>
              <w:t xml:space="preserve">Dominant focus: Participation </w:t>
            </w:r>
            <w:r>
              <w:rPr>
                <w:rStyle w:val="FootnoteReference"/>
              </w:rPr>
              <w:footnoteReference w:id="286"/>
            </w:r>
          </w:p>
          <w:p w14:paraId="6F66B176" w14:textId="3E198E41" w:rsidR="005768C8" w:rsidRPr="00662CBC" w:rsidRDefault="009D795E" w:rsidP="00745872">
            <w:pPr>
              <w:pStyle w:val="ListParagraph"/>
              <w:numPr>
                <w:ilvl w:val="0"/>
                <w:numId w:val="21"/>
              </w:numPr>
            </w:pPr>
            <w:r>
              <w:t xml:space="preserve">Few </w:t>
            </w:r>
            <w:r w:rsidR="007A57DB">
              <w:t>objectives</w:t>
            </w:r>
            <w:r w:rsidR="007A57DB">
              <w:rPr>
                <w:rStyle w:val="FootnoteReference"/>
              </w:rPr>
              <w:footnoteReference w:id="287"/>
            </w:r>
          </w:p>
        </w:tc>
      </w:tr>
      <w:tr w:rsidR="00CB5BD0" w:rsidRPr="00662CBC" w14:paraId="106F76F4" w14:textId="77777777" w:rsidTr="00F37D6B">
        <w:tc>
          <w:tcPr>
            <w:tcW w:w="139" w:type="pct"/>
            <w:shd w:val="clear" w:color="auto" w:fill="auto"/>
          </w:tcPr>
          <w:p w14:paraId="59076119"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0B24DB18" w14:textId="77777777" w:rsidR="004116DF" w:rsidRPr="00662CBC" w:rsidRDefault="004116DF" w:rsidP="006064D6">
            <w:pPr>
              <w:pStyle w:val="Heading3"/>
            </w:pPr>
            <w:bookmarkStart w:id="48" w:name="_Toc132806731"/>
            <w:r w:rsidRPr="00662CBC">
              <w:t>Spain</w:t>
            </w:r>
            <w:bookmarkEnd w:id="48"/>
            <w:r w:rsidRPr="00662CBC">
              <w:t xml:space="preserve"> </w:t>
            </w:r>
          </w:p>
          <w:p w14:paraId="1FF5E77C" w14:textId="77777777" w:rsidR="004116DF" w:rsidRPr="00662CBC" w:rsidRDefault="004116DF" w:rsidP="006064D6">
            <w:pPr>
              <w:rPr>
                <w:b/>
                <w:bCs/>
                <w:szCs w:val="20"/>
              </w:rPr>
            </w:pPr>
          </w:p>
        </w:tc>
        <w:tc>
          <w:tcPr>
            <w:tcW w:w="855" w:type="pct"/>
            <w:shd w:val="clear" w:color="auto" w:fill="auto"/>
          </w:tcPr>
          <w:p w14:paraId="1E89724B" w14:textId="6B753A62" w:rsidR="004116DF" w:rsidRPr="00662CBC" w:rsidRDefault="004116DF" w:rsidP="00026009">
            <w:pPr>
              <w:rPr>
                <w:b/>
                <w:bCs/>
              </w:rPr>
            </w:pPr>
            <w:r w:rsidRPr="00662CBC">
              <w:t>s. NDC submitted by EU</w:t>
            </w:r>
          </w:p>
        </w:tc>
        <w:tc>
          <w:tcPr>
            <w:tcW w:w="1023" w:type="pct"/>
            <w:shd w:val="clear" w:color="auto" w:fill="auto"/>
          </w:tcPr>
          <w:p w14:paraId="1199A1FE" w14:textId="405FAE31" w:rsidR="0019436E" w:rsidRDefault="00D24000" w:rsidP="00026009">
            <w:pPr>
              <w:rPr>
                <w:b/>
              </w:rPr>
            </w:pPr>
            <w:r>
              <w:rPr>
                <w:b/>
              </w:rPr>
              <w:t>—</w:t>
            </w:r>
          </w:p>
          <w:p w14:paraId="2A9F1DBF" w14:textId="77777777" w:rsidR="00D24000" w:rsidRPr="00235569" w:rsidRDefault="00D24000" w:rsidP="00D24000">
            <w:pPr>
              <w:rPr>
                <w:szCs w:val="20"/>
              </w:rPr>
            </w:pPr>
            <w:r>
              <w:rPr>
                <w:b/>
                <w:bCs/>
                <w:szCs w:val="20"/>
              </w:rPr>
              <w:t xml:space="preserve">Concluding Observations </w:t>
            </w:r>
            <w:r>
              <w:rPr>
                <w:szCs w:val="20"/>
              </w:rPr>
              <w:t>(2015):</w:t>
            </w:r>
          </w:p>
          <w:p w14:paraId="354504A0" w14:textId="77777777" w:rsidR="00D24000" w:rsidRPr="00235569" w:rsidRDefault="00D24000" w:rsidP="00D24000">
            <w:pPr>
              <w:rPr>
                <w:b/>
                <w:bCs/>
                <w:szCs w:val="20"/>
              </w:rPr>
            </w:pPr>
            <w:r w:rsidRPr="00235569">
              <w:rPr>
                <w:b/>
                <w:bCs/>
                <w:szCs w:val="20"/>
              </w:rPr>
              <w:t xml:space="preserve">Participation in political and public life </w:t>
            </w:r>
          </w:p>
          <w:p w14:paraId="33CF389B" w14:textId="77777777" w:rsidR="00D24000" w:rsidRDefault="00D24000" w:rsidP="00D24000">
            <w:pPr>
              <w:rPr>
                <w:szCs w:val="20"/>
              </w:rPr>
            </w:pPr>
            <w:r w:rsidRPr="00235569">
              <w:rPr>
                <w:szCs w:val="20"/>
              </w:rPr>
              <w:t xml:space="preserve">24. The Committee welcomes the increase in the representation of women in the parliament to 35.5 per cent and in the legislatures of the autonomous </w:t>
            </w:r>
            <w:r w:rsidRPr="00235569">
              <w:rPr>
                <w:szCs w:val="20"/>
              </w:rPr>
              <w:lastRenderedPageBreak/>
              <w:t xml:space="preserve">communities to 44.6 per cent. It is concerned, however, about the generally low participation of women in political and public life, </w:t>
            </w:r>
            <w:proofErr w:type="gramStart"/>
            <w:r w:rsidRPr="00235569">
              <w:rPr>
                <w:szCs w:val="20"/>
              </w:rPr>
              <w:t>in particular in</w:t>
            </w:r>
            <w:proofErr w:type="gramEnd"/>
            <w:r w:rsidRPr="00235569">
              <w:rPr>
                <w:szCs w:val="20"/>
              </w:rPr>
              <w:t xml:space="preserve"> decision-making positions at the autonomous community level (4 of the 17 presidents of autonomous communities are women), in the diplomatic service (12 of 199 ambassadors are women) and in the judiciary. </w:t>
            </w:r>
          </w:p>
          <w:p w14:paraId="2FBB5AEA" w14:textId="77777777" w:rsidR="00D24000" w:rsidRPr="00F61A24" w:rsidRDefault="00D24000" w:rsidP="00D24000">
            <w:pPr>
              <w:rPr>
                <w:szCs w:val="20"/>
              </w:rPr>
            </w:pPr>
            <w:r w:rsidRPr="00235569">
              <w:rPr>
                <w:szCs w:val="20"/>
              </w:rPr>
              <w:t>25. The Committee recommends that the State party: (a) Increase the participation of women in political and public life at all levels, including by adopting temporary special measures, such as statutory quotas, in accordance with article 4 (1) of the Convention and the Committee’s general recommendation No. 25;</w:t>
            </w:r>
            <w:r>
              <w:rPr>
                <w:szCs w:val="20"/>
              </w:rPr>
              <w:t>”</w:t>
            </w:r>
            <w:r>
              <w:rPr>
                <w:rStyle w:val="FootnoteReference"/>
                <w:szCs w:val="20"/>
              </w:rPr>
              <w:footnoteReference w:id="288"/>
            </w:r>
          </w:p>
          <w:p w14:paraId="709BF8A7" w14:textId="77777777" w:rsidR="00D24000" w:rsidRPr="0019436E" w:rsidRDefault="00D24000" w:rsidP="00026009">
            <w:pPr>
              <w:rPr>
                <w:b/>
              </w:rPr>
            </w:pPr>
          </w:p>
          <w:p w14:paraId="1A1B6734" w14:textId="3C4228B7" w:rsidR="004116DF" w:rsidRPr="0019436E" w:rsidRDefault="0019436E" w:rsidP="00026009">
            <w:pPr>
              <w:rPr>
                <w:b/>
              </w:rPr>
            </w:pPr>
            <w:r w:rsidRPr="0019436E">
              <w:rPr>
                <w:b/>
              </w:rPr>
              <w:t xml:space="preserve">Note: </w:t>
            </w:r>
            <w:r w:rsidR="004116DF" w:rsidRPr="0019436E">
              <w:rPr>
                <w:b/>
              </w:rPr>
              <w:t>Feminist Foreign Policy</w:t>
            </w:r>
            <w:r w:rsidRPr="0019436E">
              <w:rPr>
                <w:bCs/>
              </w:rPr>
              <w:t xml:space="preserve">: </w:t>
            </w:r>
            <w:r>
              <w:rPr>
                <w:bCs/>
              </w:rPr>
              <w:t>defined as promoting gender equality.</w:t>
            </w:r>
            <w:r>
              <w:rPr>
                <w:rStyle w:val="FootnoteReference"/>
                <w:bCs/>
              </w:rPr>
              <w:footnoteReference w:id="289"/>
            </w:r>
          </w:p>
        </w:tc>
        <w:tc>
          <w:tcPr>
            <w:tcW w:w="903" w:type="pct"/>
            <w:shd w:val="clear" w:color="auto" w:fill="auto"/>
          </w:tcPr>
          <w:p w14:paraId="019A18E3" w14:textId="2E5994C9" w:rsidR="007A75D8" w:rsidRDefault="007A75D8" w:rsidP="007A75D8">
            <w:pPr>
              <w:rPr>
                <w:szCs w:val="20"/>
              </w:rPr>
            </w:pPr>
            <w:r>
              <w:rPr>
                <w:szCs w:val="20"/>
              </w:rPr>
              <w:lastRenderedPageBreak/>
              <w:t>—</w:t>
            </w:r>
          </w:p>
          <w:p w14:paraId="0FB96FB8" w14:textId="77777777" w:rsidR="007A75D8" w:rsidRPr="00E5243F" w:rsidRDefault="007A75D8" w:rsidP="007A75D8">
            <w:pPr>
              <w:rPr>
                <w:b/>
                <w:bCs/>
              </w:rPr>
            </w:pPr>
            <w:r>
              <w:rPr>
                <w:b/>
                <w:bCs/>
              </w:rPr>
              <w:t>Note 1</w:t>
            </w:r>
            <w:r w:rsidRPr="00C50216">
              <w:t xml:space="preserve">: </w:t>
            </w:r>
            <w:r>
              <w:rPr>
                <w:b/>
                <w:bCs/>
              </w:rPr>
              <w:t>Suitable military equipment/facilities/uniforms for both sexes.</w:t>
            </w:r>
          </w:p>
          <w:p w14:paraId="57FFA29C" w14:textId="77777777" w:rsidR="007A75D8" w:rsidRPr="00235569" w:rsidRDefault="007A75D8" w:rsidP="007A75D8">
            <w:r>
              <w:t>“</w:t>
            </w:r>
            <w:r w:rsidRPr="00235569">
              <w:t xml:space="preserve">Military equipment has been adapted for both women and men. Anti-fragment vests for Combat Units are adapted for women. Service and combat </w:t>
            </w:r>
            <w:r w:rsidRPr="00235569">
              <w:lastRenderedPageBreak/>
              <w:t>uniforms include special sizes and designs for women, including pregnancy uniforms. Military facilities are adapted for both women and men, such as separate toilets and cabins.</w:t>
            </w:r>
            <w:r>
              <w:t>”</w:t>
            </w:r>
            <w:r w:rsidRPr="00235569">
              <w:rPr>
                <w:rStyle w:val="FootnoteReference"/>
              </w:rPr>
              <w:t xml:space="preserve"> </w:t>
            </w:r>
            <w:r>
              <w:rPr>
                <w:rStyle w:val="FootnoteReference"/>
              </w:rPr>
              <w:footnoteReference w:id="290"/>
            </w:r>
          </w:p>
          <w:p w14:paraId="2852F4D5" w14:textId="77777777" w:rsidR="004116DF" w:rsidRPr="00662CBC" w:rsidRDefault="004116DF" w:rsidP="00026009"/>
        </w:tc>
        <w:tc>
          <w:tcPr>
            <w:tcW w:w="949" w:type="pct"/>
            <w:shd w:val="clear" w:color="auto" w:fill="auto"/>
          </w:tcPr>
          <w:p w14:paraId="36604299" w14:textId="301B26F1" w:rsidR="00CD31C8" w:rsidRDefault="00DF77DC" w:rsidP="00026009">
            <w:r>
              <w:rPr>
                <w:b/>
                <w:bCs/>
              </w:rPr>
              <w:lastRenderedPageBreak/>
              <w:t>No mandatory military service.</w:t>
            </w:r>
          </w:p>
          <w:p w14:paraId="44887A42" w14:textId="64B3818B" w:rsidR="004116DF" w:rsidRPr="0073637B" w:rsidRDefault="00CD31C8" w:rsidP="0073637B">
            <w:r>
              <w:t>“</w:t>
            </w:r>
            <w:r w:rsidR="0073637B" w:rsidRPr="0073637B">
              <w:t xml:space="preserve">18-26 years of age for voluntary military service for men and women; 24-36 month initial obligation; women allowed to serve in all branches, including combat units; no conscription (abolished 2001), but the Spanish Government retains the right to mobilize </w:t>
            </w:r>
            <w:r w:rsidR="0073637B" w:rsidRPr="0073637B">
              <w:lastRenderedPageBreak/>
              <w:t>citizens 19-25 years of age in a national emergency; 18-58 for the voluntary reserves (2022)</w:t>
            </w:r>
            <w:r w:rsidR="0073637B" w:rsidRPr="0073637B">
              <w:br/>
            </w:r>
            <w:r w:rsidR="0073637B" w:rsidRPr="0073637B">
              <w:br/>
            </w:r>
            <w:r w:rsidR="0073637B" w:rsidRPr="0073637B">
              <w:rPr>
                <w:b/>
                <w:bCs/>
              </w:rPr>
              <w:t>note 1:</w:t>
            </w:r>
            <w:r w:rsidR="0073637B" w:rsidRPr="0073637B">
              <w:t> as of 2019, women comprised about 13% of the military's full-time personnel</w:t>
            </w:r>
            <w:r w:rsidR="0073637B" w:rsidRPr="0073637B">
              <w:br/>
            </w:r>
            <w:r w:rsidR="0073637B" w:rsidRPr="0073637B">
              <w:br/>
            </w:r>
            <w:r w:rsidR="0073637B" w:rsidRPr="0073637B">
              <w:rPr>
                <w:b/>
                <w:bCs/>
              </w:rPr>
              <w:t>note 2:</w:t>
            </w:r>
            <w:r w:rsidR="0073637B" w:rsidRPr="0073637B">
              <w:t> the military recruits foreign nationals with residency in Spain from countries of its former empire, including Argentina, Costa Rica, Bolivia, Colombia, Chile, Cuba, Dominican Republic, Ecuador, El Salvador, Equatorial Guinea, Guatemala, Honduras, Mexico, Nicaragua, Panama, Paraguay, Peru, Uruguay, and Venezuela.”</w:t>
            </w:r>
            <w:r w:rsidR="004116DF" w:rsidRPr="005D2F5A">
              <w:rPr>
                <w:rStyle w:val="FootnoteReference"/>
              </w:rPr>
              <w:footnoteReference w:id="291"/>
            </w:r>
          </w:p>
        </w:tc>
        <w:tc>
          <w:tcPr>
            <w:tcW w:w="677" w:type="pct"/>
            <w:shd w:val="clear" w:color="auto" w:fill="auto"/>
          </w:tcPr>
          <w:p w14:paraId="2D64B5BB" w14:textId="1E454197" w:rsidR="004116DF" w:rsidRDefault="00000000" w:rsidP="00026009">
            <w:hyperlink r:id="rId110" w:history="1">
              <w:r w:rsidR="00CE583F" w:rsidRPr="000A2E0B">
                <w:rPr>
                  <w:rStyle w:val="Hyperlink"/>
                  <w:b/>
                  <w:bCs/>
                </w:rPr>
                <w:t xml:space="preserve">NAP </w:t>
              </w:r>
              <w:r w:rsidR="00CE583F" w:rsidRPr="000A2E0B">
                <w:rPr>
                  <w:rStyle w:val="Hyperlink"/>
                </w:rPr>
                <w:t>(</w:t>
              </w:r>
              <w:r w:rsidR="000A2E0B" w:rsidRPr="000A2E0B">
                <w:rPr>
                  <w:rStyle w:val="Hyperlink"/>
                </w:rPr>
                <w:t>2007</w:t>
              </w:r>
              <w:r w:rsidR="00CE583F" w:rsidRPr="000A2E0B">
                <w:rPr>
                  <w:rStyle w:val="Hyperlink"/>
                </w:rPr>
                <w:t>)</w:t>
              </w:r>
            </w:hyperlink>
          </w:p>
          <w:p w14:paraId="5D00A7E2" w14:textId="78197A03" w:rsidR="005768C8" w:rsidRDefault="00000000" w:rsidP="00026009">
            <w:pPr>
              <w:rPr>
                <w:b/>
                <w:bCs/>
              </w:rPr>
            </w:pPr>
            <w:hyperlink r:id="rId111" w:history="1">
              <w:r w:rsidR="005768C8" w:rsidRPr="009945AA">
                <w:rPr>
                  <w:rStyle w:val="Hyperlink"/>
                  <w:b/>
                  <w:bCs/>
                </w:rPr>
                <w:t>NAP</w:t>
              </w:r>
              <w:r w:rsidR="009945AA" w:rsidRPr="009945AA">
                <w:rPr>
                  <w:rStyle w:val="Hyperlink"/>
                  <w:b/>
                  <w:bCs/>
                </w:rPr>
                <w:t xml:space="preserve"> 2017-2023</w:t>
              </w:r>
              <w:r w:rsidR="005768C8" w:rsidRPr="009945AA">
                <w:rPr>
                  <w:rStyle w:val="Hyperlink"/>
                  <w:b/>
                  <w:bCs/>
                </w:rPr>
                <w:t xml:space="preserve"> </w:t>
              </w:r>
              <w:r w:rsidR="005768C8" w:rsidRPr="009945AA">
                <w:rPr>
                  <w:rStyle w:val="Hyperlink"/>
                </w:rPr>
                <w:t>(</w:t>
              </w:r>
              <w:r w:rsidR="009945AA" w:rsidRPr="009945AA">
                <w:rPr>
                  <w:rStyle w:val="Hyperlink"/>
                </w:rPr>
                <w:t>2017</w:t>
              </w:r>
              <w:r w:rsidR="005768C8" w:rsidRPr="009945AA">
                <w:rPr>
                  <w:rStyle w:val="Hyperlink"/>
                </w:rPr>
                <w:t>)</w:t>
              </w:r>
            </w:hyperlink>
          </w:p>
          <w:p w14:paraId="58E17E7E" w14:textId="77777777" w:rsidR="00DC3544" w:rsidRDefault="00DC3544" w:rsidP="00DC3544">
            <w:pPr>
              <w:pStyle w:val="ListParagraph"/>
              <w:numPr>
                <w:ilvl w:val="0"/>
                <w:numId w:val="21"/>
              </w:numPr>
            </w:pPr>
            <w:r>
              <w:t xml:space="preserve">Dominant focus: Participation </w:t>
            </w:r>
            <w:r>
              <w:rPr>
                <w:rStyle w:val="FootnoteReference"/>
              </w:rPr>
              <w:footnoteReference w:id="292"/>
            </w:r>
          </w:p>
          <w:p w14:paraId="7DBD10D5" w14:textId="50EE167C" w:rsidR="00314732" w:rsidRDefault="00314732" w:rsidP="00DC3544">
            <w:pPr>
              <w:pStyle w:val="ListParagraph"/>
              <w:numPr>
                <w:ilvl w:val="0"/>
                <w:numId w:val="21"/>
              </w:numPr>
            </w:pPr>
            <w:r>
              <w:t xml:space="preserve">Some precise objectives </w:t>
            </w:r>
          </w:p>
          <w:p w14:paraId="493669AC" w14:textId="77777777" w:rsidR="00314732" w:rsidRDefault="00314732" w:rsidP="00026009"/>
          <w:p w14:paraId="11875909" w14:textId="6329F41C" w:rsidR="009945AA" w:rsidRPr="00662CBC" w:rsidRDefault="009945AA" w:rsidP="00026009"/>
        </w:tc>
      </w:tr>
      <w:tr w:rsidR="00CB5BD0" w:rsidRPr="00662CBC" w14:paraId="03FA817C" w14:textId="77777777" w:rsidTr="00F37D6B">
        <w:tc>
          <w:tcPr>
            <w:tcW w:w="139" w:type="pct"/>
            <w:shd w:val="clear" w:color="auto" w:fill="auto"/>
          </w:tcPr>
          <w:p w14:paraId="1F332976"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08CA5DE6" w14:textId="77777777" w:rsidR="004116DF" w:rsidRPr="00662CBC" w:rsidRDefault="004116DF" w:rsidP="006064D6">
            <w:pPr>
              <w:pStyle w:val="Heading3"/>
            </w:pPr>
            <w:bookmarkStart w:id="49" w:name="_Toc132806732"/>
            <w:r w:rsidRPr="00662CBC">
              <w:t>Sweden</w:t>
            </w:r>
            <w:bookmarkEnd w:id="49"/>
            <w:r w:rsidRPr="00662CBC">
              <w:t xml:space="preserve"> </w:t>
            </w:r>
          </w:p>
          <w:p w14:paraId="568105B6" w14:textId="77777777" w:rsidR="004116DF" w:rsidRPr="00662CBC" w:rsidRDefault="004116DF" w:rsidP="006064D6">
            <w:pPr>
              <w:rPr>
                <w:b/>
                <w:bCs/>
                <w:szCs w:val="20"/>
              </w:rPr>
            </w:pPr>
          </w:p>
        </w:tc>
        <w:tc>
          <w:tcPr>
            <w:tcW w:w="855" w:type="pct"/>
            <w:shd w:val="clear" w:color="auto" w:fill="auto"/>
          </w:tcPr>
          <w:p w14:paraId="04AAEE8C" w14:textId="0B4DBB70" w:rsidR="004116DF" w:rsidRPr="00662CBC" w:rsidRDefault="004116DF" w:rsidP="00026009">
            <w:pPr>
              <w:rPr>
                <w:b/>
                <w:bCs/>
              </w:rPr>
            </w:pPr>
            <w:r w:rsidRPr="00662CBC">
              <w:t>s. NDC submitted by EU</w:t>
            </w:r>
          </w:p>
        </w:tc>
        <w:tc>
          <w:tcPr>
            <w:tcW w:w="1023" w:type="pct"/>
            <w:shd w:val="clear" w:color="auto" w:fill="auto"/>
          </w:tcPr>
          <w:p w14:paraId="581FAD5A" w14:textId="1EF183B8" w:rsidR="004116DF" w:rsidRDefault="0000176D" w:rsidP="00026009">
            <w:r>
              <w:t xml:space="preserve">The </w:t>
            </w:r>
            <w:r w:rsidR="004116DF" w:rsidRPr="005F7220">
              <w:rPr>
                <w:b/>
                <w:bCs/>
              </w:rPr>
              <w:t>Feminist Foreign Policy</w:t>
            </w:r>
            <w:r>
              <w:t xml:space="preserve"> was</w:t>
            </w:r>
            <w:r w:rsidR="004116DF" w:rsidRPr="00662CBC">
              <w:t xml:space="preserve"> abandoned </w:t>
            </w:r>
            <w:r>
              <w:t>in 2023 after the election of a new government.</w:t>
            </w:r>
          </w:p>
          <w:p w14:paraId="524A2F9C" w14:textId="77777777" w:rsidR="004116DF" w:rsidRPr="00662CBC" w:rsidRDefault="004116DF" w:rsidP="005F7220">
            <w:pPr>
              <w:rPr>
                <w:b/>
                <w:bCs/>
              </w:rPr>
            </w:pPr>
          </w:p>
        </w:tc>
        <w:tc>
          <w:tcPr>
            <w:tcW w:w="903" w:type="pct"/>
            <w:shd w:val="clear" w:color="auto" w:fill="auto"/>
          </w:tcPr>
          <w:p w14:paraId="03114C51" w14:textId="07193668" w:rsidR="004116DF" w:rsidRPr="00662CBC" w:rsidRDefault="00105640" w:rsidP="00026009">
            <w:r>
              <w:t>—</w:t>
            </w:r>
          </w:p>
        </w:tc>
        <w:tc>
          <w:tcPr>
            <w:tcW w:w="949" w:type="pct"/>
            <w:shd w:val="clear" w:color="auto" w:fill="auto"/>
          </w:tcPr>
          <w:p w14:paraId="03F06D47" w14:textId="1F883AF4" w:rsidR="007D003C" w:rsidRPr="00BA5CAE" w:rsidRDefault="00BA5CAE" w:rsidP="00026009">
            <w:pPr>
              <w:rPr>
                <w:b/>
                <w:bCs/>
              </w:rPr>
            </w:pPr>
            <w:r>
              <w:rPr>
                <w:b/>
                <w:bCs/>
              </w:rPr>
              <w:t>Universal conscription for both men and women.</w:t>
            </w:r>
          </w:p>
          <w:p w14:paraId="5B53D732" w14:textId="77777777" w:rsidR="007D003C" w:rsidRDefault="007D003C" w:rsidP="007D003C">
            <w:r>
              <w:t>“</w:t>
            </w:r>
            <w:r w:rsidRPr="007D003C">
              <w:t>18-47 years of age for male and female voluntary military service; service obligation: 7.5 months (Army), 7-15 months (Navy), 8-12 months (Air Force); after completing initial service, soldiers have a reserve commitment until age 47; compulsory military service, abolished in 2010, was reinstated in January 2018; conscription is selective, includes both men and women (age 18), and requires 9-12 months of service (2023)</w:t>
            </w:r>
          </w:p>
          <w:p w14:paraId="5CCE05C0" w14:textId="263506D5" w:rsidR="007D003C" w:rsidRDefault="007D003C" w:rsidP="007D003C">
            <w:r w:rsidRPr="007D003C">
              <w:rPr>
                <w:b/>
                <w:bCs/>
              </w:rPr>
              <w:t>note 1: </w:t>
            </w:r>
            <w:r w:rsidRPr="007D003C">
              <w:t xml:space="preserve">Sweden conscripts about 5,500 men and women each year; it plans to increase this number to 8,000 by </w:t>
            </w:r>
            <w:proofErr w:type="gramStart"/>
            <w:r w:rsidRPr="007D003C">
              <w:t>2025</w:t>
            </w:r>
            <w:proofErr w:type="gramEnd"/>
          </w:p>
          <w:p w14:paraId="2B0FC51A" w14:textId="69CC4709" w:rsidR="004116DF" w:rsidRPr="00662CBC" w:rsidRDefault="007D003C" w:rsidP="007D003C">
            <w:r w:rsidRPr="007D003C">
              <w:rPr>
                <w:b/>
                <w:bCs/>
              </w:rPr>
              <w:t>note 2: </w:t>
            </w:r>
            <w:r w:rsidRPr="007D003C">
              <w:t>as of 2021, women made up about 11% of the military's full-time personnel</w:t>
            </w:r>
            <w:r>
              <w:t>.”</w:t>
            </w:r>
            <w:r w:rsidR="004116DF" w:rsidRPr="005D2F5A">
              <w:rPr>
                <w:rStyle w:val="FootnoteReference"/>
              </w:rPr>
              <w:footnoteReference w:id="293"/>
            </w:r>
          </w:p>
        </w:tc>
        <w:tc>
          <w:tcPr>
            <w:tcW w:w="677" w:type="pct"/>
            <w:shd w:val="clear" w:color="auto" w:fill="auto"/>
          </w:tcPr>
          <w:p w14:paraId="598F12C4" w14:textId="010D312F" w:rsidR="004116DF" w:rsidRDefault="00000000" w:rsidP="00026009">
            <w:hyperlink r:id="rId112" w:history="1">
              <w:r w:rsidR="00CE583F" w:rsidRPr="00E82B55">
                <w:rPr>
                  <w:rStyle w:val="Hyperlink"/>
                  <w:b/>
                  <w:bCs/>
                </w:rPr>
                <w:t xml:space="preserve">NAP </w:t>
              </w:r>
              <w:r w:rsidR="00CE583F" w:rsidRPr="00E82B55">
                <w:rPr>
                  <w:rStyle w:val="Hyperlink"/>
                </w:rPr>
                <w:t>(</w:t>
              </w:r>
              <w:r w:rsidR="00E82B55" w:rsidRPr="00E82B55">
                <w:rPr>
                  <w:rStyle w:val="Hyperlink"/>
                </w:rPr>
                <w:t>2006</w:t>
              </w:r>
              <w:r w:rsidR="00CE583F" w:rsidRPr="00E82B55">
                <w:rPr>
                  <w:rStyle w:val="Hyperlink"/>
                </w:rPr>
                <w:t>)</w:t>
              </w:r>
            </w:hyperlink>
          </w:p>
          <w:p w14:paraId="0F58D79A" w14:textId="5D8EEE8A" w:rsidR="00E82B55" w:rsidRDefault="00000000" w:rsidP="00026009">
            <w:hyperlink r:id="rId113" w:history="1">
              <w:r w:rsidR="00E82B55" w:rsidRPr="00E82B55">
                <w:rPr>
                  <w:rStyle w:val="Hyperlink"/>
                  <w:b/>
                  <w:bCs/>
                </w:rPr>
                <w:t xml:space="preserve">NAP 2009-2012 </w:t>
              </w:r>
              <w:r w:rsidR="00E82B55" w:rsidRPr="00E82B55">
                <w:rPr>
                  <w:rStyle w:val="Hyperlink"/>
                </w:rPr>
                <w:t>(2009)</w:t>
              </w:r>
            </w:hyperlink>
          </w:p>
          <w:p w14:paraId="74158B03" w14:textId="1EF436A7" w:rsidR="00E82B55" w:rsidRDefault="00000000" w:rsidP="00026009">
            <w:hyperlink r:id="rId114" w:history="1">
              <w:r w:rsidR="00E82B55" w:rsidRPr="00E82B55">
                <w:rPr>
                  <w:rStyle w:val="Hyperlink"/>
                  <w:b/>
                  <w:bCs/>
                </w:rPr>
                <w:t xml:space="preserve">NAP 2016-2020 </w:t>
              </w:r>
              <w:r w:rsidR="00E82B55" w:rsidRPr="00E82B55">
                <w:rPr>
                  <w:rStyle w:val="Hyperlink"/>
                </w:rPr>
                <w:t>(</w:t>
              </w:r>
              <w:r w:rsidR="008B480B">
                <w:rPr>
                  <w:rStyle w:val="Hyperlink"/>
                </w:rPr>
                <w:t>2016</w:t>
              </w:r>
              <w:r w:rsidR="00E82B55" w:rsidRPr="00E82B55">
                <w:rPr>
                  <w:rStyle w:val="Hyperlink"/>
                </w:rPr>
                <w:t>)</w:t>
              </w:r>
            </w:hyperlink>
          </w:p>
          <w:p w14:paraId="06D06297" w14:textId="77777777" w:rsidR="008B480B" w:rsidRPr="0022293A" w:rsidRDefault="008B480B" w:rsidP="008B480B">
            <w:pPr>
              <w:pStyle w:val="ListParagraph"/>
              <w:numPr>
                <w:ilvl w:val="0"/>
                <w:numId w:val="21"/>
              </w:numPr>
            </w:pPr>
            <w:r>
              <w:t xml:space="preserve">Dominant focus: Participation </w:t>
            </w:r>
            <w:r>
              <w:rPr>
                <w:rStyle w:val="FootnoteReference"/>
              </w:rPr>
              <w:footnoteReference w:id="294"/>
            </w:r>
          </w:p>
          <w:p w14:paraId="49A96E55" w14:textId="4F620371" w:rsidR="00E82B55" w:rsidRPr="00662CBC" w:rsidRDefault="00E82B55" w:rsidP="00026009"/>
        </w:tc>
      </w:tr>
      <w:tr w:rsidR="00CB5BD0" w:rsidRPr="00662CBC" w14:paraId="4D51F52D" w14:textId="77777777" w:rsidTr="00F37D6B">
        <w:tc>
          <w:tcPr>
            <w:tcW w:w="139" w:type="pct"/>
            <w:shd w:val="clear" w:color="auto" w:fill="auto"/>
          </w:tcPr>
          <w:p w14:paraId="3C462AEB"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6AE94E0A" w14:textId="77777777" w:rsidR="004116DF" w:rsidRPr="00662CBC" w:rsidRDefault="004116DF" w:rsidP="006064D6">
            <w:pPr>
              <w:pStyle w:val="Heading3"/>
            </w:pPr>
            <w:bookmarkStart w:id="50" w:name="_Toc132806733"/>
            <w:r w:rsidRPr="00662CBC">
              <w:t>Switzerland</w:t>
            </w:r>
            <w:bookmarkEnd w:id="50"/>
            <w:r w:rsidRPr="00662CBC">
              <w:t xml:space="preserve"> </w:t>
            </w:r>
          </w:p>
          <w:p w14:paraId="1363B937" w14:textId="77777777" w:rsidR="004116DF" w:rsidRPr="00662CBC" w:rsidRDefault="004116DF" w:rsidP="006064D6">
            <w:pPr>
              <w:rPr>
                <w:b/>
                <w:bCs/>
                <w:szCs w:val="20"/>
              </w:rPr>
            </w:pPr>
          </w:p>
        </w:tc>
        <w:tc>
          <w:tcPr>
            <w:tcW w:w="855" w:type="pct"/>
            <w:shd w:val="clear" w:color="auto" w:fill="auto"/>
          </w:tcPr>
          <w:p w14:paraId="5F6B5C5B" w14:textId="12170CB6" w:rsidR="004116DF" w:rsidRPr="001B2B5E" w:rsidRDefault="001B2B5E" w:rsidP="00026009">
            <w:r>
              <w:rPr>
                <w:b/>
                <w:bCs/>
              </w:rPr>
              <w:lastRenderedPageBreak/>
              <w:t>NDC is gender-sensitive</w:t>
            </w:r>
            <w:r>
              <w:rPr>
                <w:rStyle w:val="FootnoteReference"/>
                <w:b/>
                <w:bCs/>
              </w:rPr>
              <w:footnoteReference w:id="295"/>
            </w:r>
          </w:p>
        </w:tc>
        <w:tc>
          <w:tcPr>
            <w:tcW w:w="1023" w:type="pct"/>
            <w:shd w:val="clear" w:color="auto" w:fill="auto"/>
          </w:tcPr>
          <w:p w14:paraId="55C91DC5" w14:textId="6A450CF9" w:rsidR="00CC0E9C" w:rsidRPr="00CC0E9C" w:rsidRDefault="0045145F" w:rsidP="00026009">
            <w:r w:rsidRPr="0045145F">
              <w:rPr>
                <w:b/>
                <w:bCs/>
              </w:rPr>
              <w:t>No legislated quota</w:t>
            </w:r>
            <w:r>
              <w:rPr>
                <w:b/>
                <w:bCs/>
              </w:rPr>
              <w:t xml:space="preserve"> </w:t>
            </w:r>
            <w:r w:rsidR="00CC0E9C">
              <w:rPr>
                <w:b/>
                <w:bCs/>
              </w:rPr>
              <w:t xml:space="preserve">Concluding Observations </w:t>
            </w:r>
            <w:r w:rsidR="00CC0E9C">
              <w:t>(2022)</w:t>
            </w:r>
          </w:p>
          <w:p w14:paraId="2C3370EF" w14:textId="13F458C3" w:rsidR="00CC0E9C" w:rsidRDefault="00536438" w:rsidP="00026009">
            <w:r>
              <w:lastRenderedPageBreak/>
              <w:t>“</w:t>
            </w:r>
            <w:r w:rsidR="00CC0E9C" w:rsidRPr="00CC0E9C">
              <w:t>49. The Committee notes with appreciation that the number of women in the Federal Department of Foreign Affairs increased from 47 per cent to 52 per cent between 2011 and 2021. It notes with concern, however, that the number of women in leadership positions remains low, with only 24 per cent of ambassadors and 20 per cent of heads of mission being women.</w:t>
            </w:r>
          </w:p>
          <w:p w14:paraId="6FB14D88" w14:textId="1FFDE91D" w:rsidR="00536438" w:rsidRPr="00662CBC" w:rsidRDefault="00536438" w:rsidP="00026009">
            <w:r w:rsidRPr="00536438">
              <w:t xml:space="preserve">50. </w:t>
            </w:r>
            <w:r w:rsidRPr="00536438">
              <w:rPr>
                <w:b/>
                <w:bCs/>
              </w:rPr>
              <w:t xml:space="preserve">The Committee recommends that the State party strengthen its efforts to promote a sustainable, </w:t>
            </w:r>
            <w:proofErr w:type="gramStart"/>
            <w:r w:rsidRPr="00536438">
              <w:rPr>
                <w:b/>
                <w:bCs/>
              </w:rPr>
              <w:t>fair</w:t>
            </w:r>
            <w:proofErr w:type="gramEnd"/>
            <w:r w:rsidRPr="00536438">
              <w:rPr>
                <w:b/>
                <w:bCs/>
              </w:rPr>
              <w:t xml:space="preserve"> and inclusive culture in diplomacy, including by establishing quotas for the recruitment of women through the diplomatic service examination</w:t>
            </w:r>
            <w:r w:rsidRPr="00536438">
              <w:t>.</w:t>
            </w:r>
            <w:r>
              <w:t>”</w:t>
            </w:r>
            <w:r>
              <w:rPr>
                <w:rStyle w:val="FootnoteReference"/>
              </w:rPr>
              <w:footnoteReference w:id="296"/>
            </w:r>
          </w:p>
        </w:tc>
        <w:tc>
          <w:tcPr>
            <w:tcW w:w="903" w:type="pct"/>
            <w:shd w:val="clear" w:color="auto" w:fill="auto"/>
          </w:tcPr>
          <w:p w14:paraId="191B36DE" w14:textId="77777777" w:rsidR="004116DF" w:rsidRDefault="0045145F" w:rsidP="00026009">
            <w:pPr>
              <w:rPr>
                <w:b/>
                <w:bCs/>
              </w:rPr>
            </w:pPr>
            <w:r w:rsidRPr="0045145F">
              <w:rPr>
                <w:b/>
                <w:bCs/>
              </w:rPr>
              <w:lastRenderedPageBreak/>
              <w:t>No legislated quota</w:t>
            </w:r>
          </w:p>
          <w:p w14:paraId="6759BE11" w14:textId="77777777" w:rsidR="000751B8" w:rsidRDefault="000751B8" w:rsidP="00026009"/>
          <w:p w14:paraId="7FF85536" w14:textId="06F8DE48" w:rsidR="000751B8" w:rsidRPr="000751B8" w:rsidRDefault="000751B8" w:rsidP="00026009">
            <w:r>
              <w:rPr>
                <w:b/>
                <w:bCs/>
              </w:rPr>
              <w:t>Note:</w:t>
            </w:r>
            <w:r>
              <w:t xml:space="preserve"> </w:t>
            </w:r>
            <w:r>
              <w:rPr>
                <w:b/>
                <w:bCs/>
              </w:rPr>
              <w:t>Women specific uniform since 2021</w:t>
            </w:r>
            <w:r w:rsidR="00716D6C">
              <w:rPr>
                <w:rStyle w:val="FootnoteReference"/>
                <w:b/>
                <w:bCs/>
              </w:rPr>
              <w:footnoteReference w:id="297"/>
            </w:r>
          </w:p>
        </w:tc>
        <w:tc>
          <w:tcPr>
            <w:tcW w:w="949" w:type="pct"/>
            <w:shd w:val="clear" w:color="auto" w:fill="auto"/>
          </w:tcPr>
          <w:p w14:paraId="29A3B93D" w14:textId="637D82A4" w:rsidR="00644118" w:rsidRPr="009043F0" w:rsidRDefault="009043F0" w:rsidP="00026009">
            <w:pPr>
              <w:rPr>
                <w:b/>
                <w:bCs/>
              </w:rPr>
            </w:pPr>
            <w:r w:rsidRPr="009043F0">
              <w:rPr>
                <w:b/>
                <w:bCs/>
              </w:rPr>
              <w:lastRenderedPageBreak/>
              <w:t xml:space="preserve">Mandatory </w:t>
            </w:r>
            <w:r>
              <w:rPr>
                <w:b/>
                <w:bCs/>
              </w:rPr>
              <w:t>military service for men.</w:t>
            </w:r>
          </w:p>
          <w:p w14:paraId="1C672F83" w14:textId="3CE99639" w:rsidR="00644118" w:rsidRDefault="00593DFC" w:rsidP="000F77D1">
            <w:r>
              <w:lastRenderedPageBreak/>
              <w:t>“</w:t>
            </w:r>
            <w:r w:rsidR="00644118">
              <w:t xml:space="preserve">18-30 years of age for compulsory military service for men; 18 years of age for voluntary military service; women may volunteer; every Swiss male </w:t>
            </w:r>
            <w:proofErr w:type="gramStart"/>
            <w:r w:rsidR="00644118">
              <w:t>has to</w:t>
            </w:r>
            <w:proofErr w:type="gramEnd"/>
            <w:r w:rsidR="00644118">
              <w:t xml:space="preserve"> serve at least 245 days in the armed forces; conscripts receive 18 weeks of mandatory training, followed by six 19-day intermittent recalls for training during the next 10 years (2023)</w:t>
            </w:r>
          </w:p>
          <w:p w14:paraId="4E175B20" w14:textId="77777777" w:rsidR="004116DF" w:rsidRDefault="00644118" w:rsidP="000F77D1">
            <w:r w:rsidRPr="000F77D1">
              <w:rPr>
                <w:b/>
                <w:bCs/>
              </w:rPr>
              <w:t>note</w:t>
            </w:r>
            <w:r>
              <w:t>: conscientious objectors can choose 390 days of community service instead of military service</w:t>
            </w:r>
            <w:r w:rsidR="000F77D1">
              <w:t>”</w:t>
            </w:r>
            <w:r w:rsidR="004116DF" w:rsidRPr="005D2F5A">
              <w:rPr>
                <w:rStyle w:val="FootnoteReference"/>
              </w:rPr>
              <w:footnoteReference w:id="298"/>
            </w:r>
          </w:p>
          <w:p w14:paraId="3E40CF4B" w14:textId="65F3A54D" w:rsidR="009043F0" w:rsidRPr="009043F0" w:rsidRDefault="009043F0" w:rsidP="000F77D1">
            <w:pPr>
              <w:rPr>
                <w:b/>
                <w:bCs/>
              </w:rPr>
            </w:pPr>
            <w:r>
              <w:rPr>
                <w:b/>
                <w:bCs/>
              </w:rPr>
              <w:t>Note 2: Mandatory military service for women is currently being discussed.</w:t>
            </w:r>
            <w:r w:rsidR="002A6DD5">
              <w:rPr>
                <w:b/>
                <w:bCs/>
              </w:rPr>
              <w:t xml:space="preserve"> </w:t>
            </w:r>
            <w:r w:rsidR="002A6DD5" w:rsidRPr="002A6DD5">
              <w:t>The</w:t>
            </w:r>
            <w:r w:rsidR="002A6DD5">
              <w:rPr>
                <w:b/>
                <w:bCs/>
              </w:rPr>
              <w:t xml:space="preserve"> </w:t>
            </w:r>
            <w:r w:rsidR="002A6DD5" w:rsidRPr="002A6DD5">
              <w:t>Federal Council</w:t>
            </w:r>
            <w:r w:rsidR="002A6DD5">
              <w:t xml:space="preserve"> is conducting a study until 2024 to that end.</w:t>
            </w:r>
            <w:r w:rsidR="002A6DD5">
              <w:rPr>
                <w:rStyle w:val="FootnoteReference"/>
              </w:rPr>
              <w:footnoteReference w:id="299"/>
            </w:r>
          </w:p>
        </w:tc>
        <w:tc>
          <w:tcPr>
            <w:tcW w:w="677" w:type="pct"/>
            <w:shd w:val="clear" w:color="auto" w:fill="auto"/>
          </w:tcPr>
          <w:p w14:paraId="02C1226E" w14:textId="6FF4282B" w:rsidR="004116DF" w:rsidRDefault="00000000" w:rsidP="00026009">
            <w:hyperlink r:id="rId115" w:history="1">
              <w:r w:rsidR="00CE583F" w:rsidRPr="009D67AE">
                <w:rPr>
                  <w:rStyle w:val="Hyperlink"/>
                  <w:b/>
                  <w:bCs/>
                </w:rPr>
                <w:t>NAP</w:t>
              </w:r>
              <w:r w:rsidR="00AD1AF0" w:rsidRPr="009D67AE">
                <w:rPr>
                  <w:rStyle w:val="Hyperlink"/>
                  <w:b/>
                  <w:bCs/>
                </w:rPr>
                <w:t xml:space="preserve"> 2007-2009</w:t>
              </w:r>
              <w:r w:rsidR="00CE583F" w:rsidRPr="009D67AE">
                <w:rPr>
                  <w:rStyle w:val="Hyperlink"/>
                  <w:b/>
                  <w:bCs/>
                </w:rPr>
                <w:t xml:space="preserve"> </w:t>
              </w:r>
              <w:r w:rsidR="00CE583F" w:rsidRPr="009D67AE">
                <w:rPr>
                  <w:rStyle w:val="Hyperlink"/>
                </w:rPr>
                <w:t>(2007)</w:t>
              </w:r>
            </w:hyperlink>
          </w:p>
          <w:p w14:paraId="5855A213" w14:textId="7E531C9E" w:rsidR="00CE583F" w:rsidRDefault="00000000" w:rsidP="00026009">
            <w:hyperlink r:id="rId116" w:history="1">
              <w:r w:rsidR="00CE583F" w:rsidRPr="009D67AE">
                <w:rPr>
                  <w:rStyle w:val="Hyperlink"/>
                  <w:b/>
                  <w:bCs/>
                </w:rPr>
                <w:t>NAP</w:t>
              </w:r>
              <w:r w:rsidR="00AD1AF0" w:rsidRPr="009D67AE">
                <w:rPr>
                  <w:rStyle w:val="Hyperlink"/>
                  <w:b/>
                  <w:bCs/>
                </w:rPr>
                <w:t xml:space="preserve"> 2010-2012</w:t>
              </w:r>
              <w:r w:rsidR="00CE583F" w:rsidRPr="009D67AE">
                <w:rPr>
                  <w:rStyle w:val="Hyperlink"/>
                  <w:b/>
                  <w:bCs/>
                </w:rPr>
                <w:t xml:space="preserve"> </w:t>
              </w:r>
              <w:r w:rsidR="00CE583F" w:rsidRPr="009D67AE">
                <w:rPr>
                  <w:rStyle w:val="Hyperlink"/>
                </w:rPr>
                <w:t>(2010)</w:t>
              </w:r>
            </w:hyperlink>
          </w:p>
          <w:p w14:paraId="4232B494" w14:textId="389F4019" w:rsidR="00CE583F" w:rsidRDefault="00000000" w:rsidP="00026009">
            <w:hyperlink r:id="rId117" w:history="1">
              <w:r w:rsidR="00CE583F" w:rsidRPr="00E82B55">
                <w:rPr>
                  <w:rStyle w:val="Hyperlink"/>
                  <w:b/>
                  <w:bCs/>
                </w:rPr>
                <w:t>NAP</w:t>
              </w:r>
              <w:r w:rsidR="00AD1AF0" w:rsidRPr="00E82B55">
                <w:rPr>
                  <w:rStyle w:val="Hyperlink"/>
                  <w:b/>
                  <w:bCs/>
                </w:rPr>
                <w:t xml:space="preserve"> 2013-2016</w:t>
              </w:r>
              <w:r w:rsidR="00CE583F" w:rsidRPr="00E82B55">
                <w:rPr>
                  <w:rStyle w:val="Hyperlink"/>
                  <w:b/>
                  <w:bCs/>
                </w:rPr>
                <w:t xml:space="preserve"> </w:t>
              </w:r>
              <w:r w:rsidR="00CE583F" w:rsidRPr="00E82B55">
                <w:rPr>
                  <w:rStyle w:val="Hyperlink"/>
                </w:rPr>
                <w:t>(2013)</w:t>
              </w:r>
            </w:hyperlink>
          </w:p>
          <w:p w14:paraId="34C9DF73" w14:textId="77777777" w:rsidR="00CE583F" w:rsidRDefault="00000000" w:rsidP="009D67AE">
            <w:pPr>
              <w:rPr>
                <w:b/>
                <w:bCs/>
              </w:rPr>
            </w:pPr>
            <w:hyperlink r:id="rId118" w:history="1">
              <w:r w:rsidR="00CE583F" w:rsidRPr="00E82B55">
                <w:rPr>
                  <w:rStyle w:val="Hyperlink"/>
                  <w:b/>
                  <w:bCs/>
                </w:rPr>
                <w:t xml:space="preserve">NAP </w:t>
              </w:r>
              <w:r w:rsidR="00AD1AF0" w:rsidRPr="00E82B55">
                <w:rPr>
                  <w:rStyle w:val="Hyperlink"/>
                  <w:b/>
                  <w:bCs/>
                </w:rPr>
                <w:t xml:space="preserve">2018-2022 </w:t>
              </w:r>
              <w:r w:rsidR="00CE583F" w:rsidRPr="00E82B55">
                <w:rPr>
                  <w:rStyle w:val="Hyperlink"/>
                </w:rPr>
                <w:t>(2018)</w:t>
              </w:r>
            </w:hyperlink>
          </w:p>
          <w:p w14:paraId="74E9EDBA" w14:textId="4DFA5411" w:rsidR="00353DE5" w:rsidRPr="00662CBC" w:rsidRDefault="00353DE5" w:rsidP="009D67AE">
            <w:r>
              <w:t xml:space="preserve">No precise objectives </w:t>
            </w:r>
          </w:p>
        </w:tc>
      </w:tr>
      <w:tr w:rsidR="00CB5BD0" w:rsidRPr="00662CBC" w14:paraId="68FF9F50" w14:textId="77777777" w:rsidTr="00F37D6B">
        <w:tc>
          <w:tcPr>
            <w:tcW w:w="139" w:type="pct"/>
            <w:shd w:val="clear" w:color="auto" w:fill="auto"/>
          </w:tcPr>
          <w:p w14:paraId="5C379BE2"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5C641374" w14:textId="77777777" w:rsidR="004116DF" w:rsidRPr="00662CBC" w:rsidRDefault="004116DF" w:rsidP="006064D6">
            <w:pPr>
              <w:pStyle w:val="Heading3"/>
            </w:pPr>
            <w:bookmarkStart w:id="51" w:name="_Toc132806734"/>
            <w:r w:rsidRPr="00662CBC">
              <w:t>Türkiye</w:t>
            </w:r>
            <w:bookmarkEnd w:id="51"/>
            <w:r w:rsidRPr="00662CBC">
              <w:t xml:space="preserve"> </w:t>
            </w:r>
          </w:p>
          <w:p w14:paraId="064B27A1" w14:textId="77777777" w:rsidR="004116DF" w:rsidRPr="00662CBC" w:rsidRDefault="004116DF" w:rsidP="006064D6">
            <w:pPr>
              <w:rPr>
                <w:b/>
                <w:bCs/>
                <w:szCs w:val="20"/>
              </w:rPr>
            </w:pPr>
          </w:p>
        </w:tc>
        <w:tc>
          <w:tcPr>
            <w:tcW w:w="855" w:type="pct"/>
            <w:shd w:val="clear" w:color="auto" w:fill="auto"/>
          </w:tcPr>
          <w:p w14:paraId="48D46588" w14:textId="0DA0C45C" w:rsidR="004116DF" w:rsidRPr="0045678B" w:rsidRDefault="007A4F3C" w:rsidP="00026009">
            <w:r w:rsidRPr="007A4F3C">
              <w:rPr>
                <w:b/>
                <w:bCs/>
              </w:rPr>
              <w:t xml:space="preserve">NDC </w:t>
            </w:r>
            <w:r>
              <w:rPr>
                <w:b/>
                <w:bCs/>
              </w:rPr>
              <w:t>does not reference gender</w:t>
            </w:r>
            <w:r w:rsidR="0045678B" w:rsidRPr="005545AF">
              <w:rPr>
                <w:rStyle w:val="FootnoteReference"/>
              </w:rPr>
              <w:footnoteReference w:id="300"/>
            </w:r>
          </w:p>
        </w:tc>
        <w:tc>
          <w:tcPr>
            <w:tcW w:w="1023" w:type="pct"/>
            <w:shd w:val="clear" w:color="auto" w:fill="auto"/>
          </w:tcPr>
          <w:p w14:paraId="30D1E4EA" w14:textId="77777777" w:rsidR="0045145F" w:rsidRDefault="0045145F" w:rsidP="003F5CE7">
            <w:pPr>
              <w:rPr>
                <w:b/>
                <w:bCs/>
              </w:rPr>
            </w:pPr>
            <w:r w:rsidRPr="0045145F">
              <w:rPr>
                <w:b/>
                <w:bCs/>
              </w:rPr>
              <w:t>No legislated quota</w:t>
            </w:r>
            <w:r>
              <w:rPr>
                <w:b/>
                <w:bCs/>
              </w:rPr>
              <w:t xml:space="preserve"> </w:t>
            </w:r>
          </w:p>
          <w:p w14:paraId="2967C924" w14:textId="31DAC55A" w:rsidR="003F5CE7" w:rsidRPr="00F61A24" w:rsidRDefault="003F5CE7" w:rsidP="003F5CE7">
            <w:pPr>
              <w:rPr>
                <w:szCs w:val="20"/>
              </w:rPr>
            </w:pPr>
            <w:r w:rsidRPr="00F61A24">
              <w:rPr>
                <w:b/>
                <w:bCs/>
                <w:szCs w:val="20"/>
              </w:rPr>
              <w:t xml:space="preserve">CEDAW Concluding Observations </w:t>
            </w:r>
            <w:r w:rsidRPr="00F61A24">
              <w:rPr>
                <w:szCs w:val="20"/>
              </w:rPr>
              <w:t xml:space="preserve">(2022): </w:t>
            </w:r>
          </w:p>
          <w:p w14:paraId="0D9C4425" w14:textId="77777777" w:rsidR="003F5CE7" w:rsidRPr="00F61A24" w:rsidRDefault="003F5CE7" w:rsidP="003F5CE7">
            <w:pPr>
              <w:rPr>
                <w:szCs w:val="20"/>
              </w:rPr>
            </w:pPr>
            <w:r w:rsidRPr="00F61A24">
              <w:rPr>
                <w:szCs w:val="20"/>
              </w:rPr>
              <w:lastRenderedPageBreak/>
              <w:t xml:space="preserve">“38. </w:t>
            </w:r>
            <w:r w:rsidRPr="00F61A24">
              <w:rPr>
                <w:b/>
                <w:bCs/>
                <w:szCs w:val="20"/>
              </w:rPr>
              <w:t xml:space="preserve">Recalling its general recommendation No. 23 (1997) on women in political and public life, as well as target 5.5 of the Sustainable Development Goals, the Committee recommends that the State party: </w:t>
            </w:r>
          </w:p>
          <w:p w14:paraId="3EEEFFA8" w14:textId="77777777" w:rsidR="003F5CE7" w:rsidRPr="00F61A24" w:rsidRDefault="003F5CE7" w:rsidP="003F5CE7">
            <w:pPr>
              <w:rPr>
                <w:szCs w:val="20"/>
              </w:rPr>
            </w:pPr>
            <w:r w:rsidRPr="00F61A24">
              <w:rPr>
                <w:szCs w:val="20"/>
              </w:rPr>
              <w:t xml:space="preserve">(a) </w:t>
            </w:r>
            <w:r w:rsidRPr="00F61A24">
              <w:rPr>
                <w:b/>
                <w:bCs/>
                <w:szCs w:val="20"/>
              </w:rPr>
              <w:t>Adopt temporary special measures, such as statutory quotas and a gender parity system, in line with article 4 (1) of the Convention and the Committee’s general recommendation No. 25 (2004) on temporary special measures, to ensure the equal representation of women, in particular women belonging to ethnic minorities and women with disabilities, in the Grand National Assembly, provincial and municipal legislative bodies, the Government, the civil service and the foreign service, in particular at decision-making levels</w:t>
            </w:r>
            <w:r w:rsidRPr="00F61A24">
              <w:rPr>
                <w:szCs w:val="20"/>
              </w:rPr>
              <w:t>;”</w:t>
            </w:r>
            <w:r w:rsidRPr="00AA03E7">
              <w:rPr>
                <w:rStyle w:val="FootnoteReference"/>
              </w:rPr>
              <w:footnoteReference w:id="301"/>
            </w:r>
          </w:p>
          <w:p w14:paraId="74F8F82B" w14:textId="6FC08C54" w:rsidR="003F5CE7" w:rsidRPr="00662CBC" w:rsidRDefault="003F5CE7" w:rsidP="00026009"/>
        </w:tc>
        <w:tc>
          <w:tcPr>
            <w:tcW w:w="903" w:type="pct"/>
            <w:shd w:val="clear" w:color="auto" w:fill="auto"/>
          </w:tcPr>
          <w:p w14:paraId="5365BFFB" w14:textId="6A8F4B1C" w:rsidR="000F77D1" w:rsidRDefault="00643339" w:rsidP="00026009">
            <w:pPr>
              <w:rPr>
                <w:b/>
                <w:bCs/>
              </w:rPr>
            </w:pPr>
            <w:r>
              <w:rPr>
                <w:b/>
                <w:bCs/>
              </w:rPr>
              <w:lastRenderedPageBreak/>
              <w:t xml:space="preserve">No leadership quotas </w:t>
            </w:r>
          </w:p>
          <w:p w14:paraId="1D5D65F1" w14:textId="1F84D643" w:rsidR="00CF7A13" w:rsidRDefault="00CF7A13" w:rsidP="00026009">
            <w:r>
              <w:rPr>
                <w:b/>
                <w:bCs/>
              </w:rPr>
              <w:t>Quota for the services in general</w:t>
            </w:r>
            <w:r>
              <w:t xml:space="preserve">: </w:t>
            </w:r>
          </w:p>
          <w:p w14:paraId="735A72AA" w14:textId="3A2F7489" w:rsidR="00A0193D" w:rsidRDefault="00CF7A13" w:rsidP="00A0193D">
            <w:r>
              <w:lastRenderedPageBreak/>
              <w:t>“</w:t>
            </w:r>
            <w:r w:rsidR="00A0193D" w:rsidRPr="00CF23D4">
              <w:t xml:space="preserve">There is a quota system for women in the TAF. The recruitment of women in officer positions is fixed at a maximum of 4% out of the total number of recruited officers per year. The Ministry of National </w:t>
            </w:r>
            <w:proofErr w:type="spellStart"/>
            <w:r w:rsidR="00A0193D" w:rsidRPr="00CF23D4">
              <w:t>Defence</w:t>
            </w:r>
            <w:proofErr w:type="spellEnd"/>
            <w:r w:rsidR="00A0193D" w:rsidRPr="00CF23D4">
              <w:t xml:space="preserve"> (MoD) aims to increase the number of women officers and non-commissioned officers in the TAF. One of the measures to attract more women has been the adoption of legal changes, amongst others concerning the pregnancy and maternity leave duration rights.</w:t>
            </w:r>
            <w:r w:rsidR="00A0193D">
              <w:t>”</w:t>
            </w:r>
            <w:r w:rsidR="00A0193D" w:rsidRPr="00CF23D4">
              <w:rPr>
                <w:rStyle w:val="FootnoteReference"/>
              </w:rPr>
              <w:t xml:space="preserve"> </w:t>
            </w:r>
            <w:r w:rsidR="00A0193D">
              <w:rPr>
                <w:rStyle w:val="FootnoteReference"/>
              </w:rPr>
              <w:footnoteReference w:id="302"/>
            </w:r>
          </w:p>
          <w:p w14:paraId="5144CA60" w14:textId="6FEDC922" w:rsidR="00CF7A13" w:rsidRPr="00CF7A13" w:rsidRDefault="00CF7A13" w:rsidP="00026009"/>
          <w:p w14:paraId="6AE1D222" w14:textId="1C5D3C8E" w:rsidR="00643339" w:rsidRDefault="00643339" w:rsidP="00643339">
            <w:pPr>
              <w:rPr>
                <w:b/>
                <w:bCs/>
              </w:rPr>
            </w:pPr>
            <w:r>
              <w:rPr>
                <w:b/>
                <w:bCs/>
              </w:rPr>
              <w:t>Note 1</w:t>
            </w:r>
            <w:r w:rsidRPr="00C50216">
              <w:t xml:space="preserve">: </w:t>
            </w:r>
            <w:r>
              <w:rPr>
                <w:b/>
                <w:bCs/>
              </w:rPr>
              <w:t>Suitable military equipment/facilities/uniforms for both sexes.</w:t>
            </w:r>
          </w:p>
          <w:p w14:paraId="74475FDB" w14:textId="77777777" w:rsidR="00643339" w:rsidRDefault="00643339" w:rsidP="00643339">
            <w:r>
              <w:t>“</w:t>
            </w:r>
            <w:r w:rsidRPr="00CF23D4">
              <w:t xml:space="preserve">Military equipment such as personal protective equipment (CBRN (chemical, biological, radiological, nuclear) suits, goggles, masks and helmets) </w:t>
            </w:r>
            <w:proofErr w:type="gramStart"/>
            <w:r w:rsidRPr="00CF23D4">
              <w:t>have</w:t>
            </w:r>
            <w:proofErr w:type="gramEnd"/>
            <w:r w:rsidRPr="00CF23D4">
              <w:t xml:space="preserve"> been ergonomically adapted and designed for both women and men. TAF Military facilities are </w:t>
            </w:r>
            <w:proofErr w:type="spellStart"/>
            <w:r w:rsidRPr="00CF23D4">
              <w:t>customised</w:t>
            </w:r>
            <w:proofErr w:type="spellEnd"/>
            <w:r w:rsidRPr="00CF23D4">
              <w:t xml:space="preserve"> for the respective needs of both sexes and the </w:t>
            </w:r>
            <w:r w:rsidRPr="00CF23D4">
              <w:lastRenderedPageBreak/>
              <w:t xml:space="preserve">dressing rooms, washrooms, </w:t>
            </w:r>
            <w:proofErr w:type="gramStart"/>
            <w:r w:rsidRPr="00CF23D4">
              <w:t>gyms</w:t>
            </w:r>
            <w:proofErr w:type="gramEnd"/>
            <w:r w:rsidRPr="00CF23D4">
              <w:t xml:space="preserve"> and dormitories are separated.</w:t>
            </w:r>
            <w:r>
              <w:t>”</w:t>
            </w:r>
            <w:r w:rsidRPr="00CF23D4">
              <w:rPr>
                <w:rStyle w:val="FootnoteReference"/>
              </w:rPr>
              <w:t xml:space="preserve"> </w:t>
            </w:r>
            <w:r>
              <w:rPr>
                <w:rStyle w:val="FootnoteReference"/>
              </w:rPr>
              <w:footnoteReference w:id="303"/>
            </w:r>
          </w:p>
          <w:p w14:paraId="128E79E4" w14:textId="77777777" w:rsidR="000F77D1" w:rsidRDefault="000F77D1" w:rsidP="00026009">
            <w:pPr>
              <w:rPr>
                <w:b/>
                <w:bCs/>
              </w:rPr>
            </w:pPr>
          </w:p>
          <w:p w14:paraId="26422575" w14:textId="77777777" w:rsidR="00F85975" w:rsidRDefault="00F85975" w:rsidP="00026009">
            <w:r>
              <w:rPr>
                <w:b/>
                <w:bCs/>
              </w:rPr>
              <w:t>Note</w:t>
            </w:r>
            <w:r w:rsidR="00643339">
              <w:rPr>
                <w:b/>
                <w:bCs/>
              </w:rPr>
              <w:t xml:space="preserve"> 2</w:t>
            </w:r>
            <w:r>
              <w:t xml:space="preserve">: Since </w:t>
            </w:r>
            <w:r w:rsidR="00561048">
              <w:t>2017, women are allowed to wear the hijab in the army.</w:t>
            </w:r>
            <w:r w:rsidR="00080162">
              <w:rPr>
                <w:rStyle w:val="FootnoteReference"/>
              </w:rPr>
              <w:footnoteReference w:id="304"/>
            </w:r>
          </w:p>
          <w:p w14:paraId="6EFBAAA7" w14:textId="77777777" w:rsidR="00D45124" w:rsidRDefault="00D45124" w:rsidP="00026009"/>
          <w:p w14:paraId="519352A6" w14:textId="77777777" w:rsidR="00D45124" w:rsidRDefault="00D45124" w:rsidP="00026009">
            <w:pPr>
              <w:rPr>
                <w:b/>
                <w:bCs/>
              </w:rPr>
            </w:pPr>
            <w:r>
              <w:rPr>
                <w:b/>
                <w:bCs/>
              </w:rPr>
              <w:t>Note 3: “</w:t>
            </w:r>
            <w:r w:rsidRPr="00D45124">
              <w:rPr>
                <w:b/>
                <w:bCs/>
              </w:rPr>
              <w:t xml:space="preserve">Restrictions on the Incorporation of Women in the Armed Forces </w:t>
            </w:r>
          </w:p>
          <w:p w14:paraId="0E556F14" w14:textId="5D237444" w:rsidR="00D45124" w:rsidRPr="00D45124" w:rsidRDefault="00D45124" w:rsidP="00D45124">
            <w:r w:rsidRPr="00D45124">
              <w:t xml:space="preserve">There are restrictions on women serving in the TAF, as well as restrictions that apply only to operations. Not all </w:t>
            </w:r>
            <w:proofErr w:type="gramStart"/>
            <w:r w:rsidRPr="00D45124">
              <w:t>active duty</w:t>
            </w:r>
            <w:proofErr w:type="gramEnd"/>
            <w:r w:rsidRPr="00D45124">
              <w:t xml:space="preserve"> positions are open to women in the armed forces. Restrictions that apply to </w:t>
            </w:r>
            <w:proofErr w:type="spellStart"/>
            <w:r w:rsidRPr="00D45124">
              <w:t>Armour</w:t>
            </w:r>
            <w:proofErr w:type="spellEnd"/>
            <w:r w:rsidRPr="00D45124">
              <w:t>, Artillery and Infantry (front-line combat positions), Submarines, Divers, and Special Forces. There are no plans to eliminate such restrictions.</w:t>
            </w:r>
            <w:r>
              <w:t>”</w:t>
            </w:r>
            <w:r>
              <w:rPr>
                <w:rStyle w:val="FootnoteReference"/>
              </w:rPr>
              <w:footnoteReference w:id="305"/>
            </w:r>
          </w:p>
        </w:tc>
        <w:tc>
          <w:tcPr>
            <w:tcW w:w="949" w:type="pct"/>
            <w:shd w:val="clear" w:color="auto" w:fill="auto"/>
          </w:tcPr>
          <w:p w14:paraId="2165758D" w14:textId="455C8F4F" w:rsidR="00287880" w:rsidRDefault="00426450" w:rsidP="00026009">
            <w:r>
              <w:rPr>
                <w:b/>
                <w:bCs/>
              </w:rPr>
              <w:lastRenderedPageBreak/>
              <w:t>Mandatory military service for men</w:t>
            </w:r>
            <w:r w:rsidR="002D1342">
              <w:rPr>
                <w:b/>
                <w:bCs/>
              </w:rPr>
              <w:t>, voluntary for women.</w:t>
            </w:r>
          </w:p>
          <w:p w14:paraId="06E09518" w14:textId="220E2765" w:rsidR="00287880" w:rsidRDefault="0095147C" w:rsidP="00287880">
            <w:r>
              <w:t>“</w:t>
            </w:r>
            <w:r w:rsidR="002D1342">
              <w:t>M</w:t>
            </w:r>
            <w:r w:rsidR="00287880">
              <w:t xml:space="preserve">andatory military service for men at age 20; service can be </w:t>
            </w:r>
            <w:r w:rsidR="00287880">
              <w:lastRenderedPageBreak/>
              <w:t>delayed if in university or in certain professions (researchers, professionals, and athletic, or those with artistic talents have the right to postpone military service until the age of 35); 6-12 months service; women may volunteer (2023)</w:t>
            </w:r>
          </w:p>
          <w:p w14:paraId="430C99FA" w14:textId="4F151AEF" w:rsidR="004116DF" w:rsidRPr="00662CBC" w:rsidRDefault="00287880" w:rsidP="00287880">
            <w:r w:rsidRPr="0095147C">
              <w:rPr>
                <w:b/>
                <w:bCs/>
              </w:rPr>
              <w:t>note 1</w:t>
            </w:r>
            <w:r>
              <w:t xml:space="preserve">: in 2019, a new law cut the men’s mandatory military service period in half, as well as making paid military service permanent; with the new system, the period of conscription was reduced from 12 months to 6 months for privates and non-commissioned soldiers (the service term for reserve officers chosen among university or college graduates remained 12 months); after completing 6 months of service, if a conscripted soldier wants to and is suitable for extending his military service, he may do so for an additional 6 months in return for a monthly salary; under the new law, all male Turkish citizens over the age of 20 are required to undergo a 1 month military training period, but they can obtain an exemption from the </w:t>
            </w:r>
            <w:r>
              <w:lastRenderedPageBreak/>
              <w:t>remaining 5 months of their mandatory service by paying a fee</w:t>
            </w:r>
            <w:r w:rsidR="00E06437">
              <w:t>.</w:t>
            </w:r>
            <w:r>
              <w:t>”</w:t>
            </w:r>
            <w:r w:rsidR="004116DF" w:rsidRPr="005D2F5A">
              <w:rPr>
                <w:rStyle w:val="FootnoteReference"/>
              </w:rPr>
              <w:footnoteReference w:id="306"/>
            </w:r>
          </w:p>
        </w:tc>
        <w:tc>
          <w:tcPr>
            <w:tcW w:w="677" w:type="pct"/>
            <w:shd w:val="clear" w:color="auto" w:fill="auto"/>
          </w:tcPr>
          <w:p w14:paraId="7E9303A4" w14:textId="19B3C891" w:rsidR="004116DF" w:rsidRPr="00CE583F" w:rsidRDefault="00CE583F" w:rsidP="00026009">
            <w:pPr>
              <w:rPr>
                <w:b/>
                <w:bCs/>
              </w:rPr>
            </w:pPr>
            <w:r>
              <w:rPr>
                <w:b/>
                <w:bCs/>
              </w:rPr>
              <w:lastRenderedPageBreak/>
              <w:t xml:space="preserve">No NAP </w:t>
            </w:r>
          </w:p>
        </w:tc>
      </w:tr>
      <w:tr w:rsidR="00CB5BD0" w:rsidRPr="00662CBC" w14:paraId="53B3A639" w14:textId="77777777" w:rsidTr="00F37D6B">
        <w:tc>
          <w:tcPr>
            <w:tcW w:w="139" w:type="pct"/>
            <w:shd w:val="clear" w:color="auto" w:fill="auto"/>
          </w:tcPr>
          <w:p w14:paraId="318FC044"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72CFC25F" w14:textId="77777777" w:rsidR="004116DF" w:rsidRPr="00662CBC" w:rsidRDefault="004116DF" w:rsidP="006064D6">
            <w:pPr>
              <w:pStyle w:val="Heading3"/>
            </w:pPr>
            <w:bookmarkStart w:id="52" w:name="_Toc132806735"/>
            <w:r w:rsidRPr="00662CBC">
              <w:t>Ukraine</w:t>
            </w:r>
            <w:bookmarkEnd w:id="52"/>
            <w:r w:rsidRPr="00662CBC">
              <w:t xml:space="preserve"> </w:t>
            </w:r>
          </w:p>
          <w:p w14:paraId="2760B644" w14:textId="77777777" w:rsidR="004116DF" w:rsidRPr="00662CBC" w:rsidRDefault="004116DF" w:rsidP="006064D6">
            <w:pPr>
              <w:rPr>
                <w:b/>
                <w:bCs/>
                <w:szCs w:val="20"/>
              </w:rPr>
            </w:pPr>
          </w:p>
        </w:tc>
        <w:tc>
          <w:tcPr>
            <w:tcW w:w="855" w:type="pct"/>
            <w:shd w:val="clear" w:color="auto" w:fill="auto"/>
          </w:tcPr>
          <w:p w14:paraId="77A63E2C" w14:textId="1CA8B06E" w:rsidR="004116DF" w:rsidRPr="005847DF" w:rsidRDefault="005847DF" w:rsidP="00026009">
            <w:r>
              <w:rPr>
                <w:b/>
                <w:bCs/>
              </w:rPr>
              <w:t xml:space="preserve">NDC 2021-2030 </w:t>
            </w:r>
            <w:r>
              <w:t>is gender-sensitive</w:t>
            </w:r>
            <w:r>
              <w:rPr>
                <w:rStyle w:val="FootnoteReference"/>
              </w:rPr>
              <w:footnoteReference w:id="307"/>
            </w:r>
          </w:p>
        </w:tc>
        <w:tc>
          <w:tcPr>
            <w:tcW w:w="1023" w:type="pct"/>
            <w:shd w:val="clear" w:color="auto" w:fill="auto"/>
          </w:tcPr>
          <w:p w14:paraId="38A52074" w14:textId="77777777" w:rsidR="0045145F" w:rsidRDefault="0045145F" w:rsidP="004E2DDB">
            <w:pPr>
              <w:rPr>
                <w:b/>
                <w:bCs/>
              </w:rPr>
            </w:pPr>
            <w:r w:rsidRPr="0045145F">
              <w:rPr>
                <w:b/>
                <w:bCs/>
              </w:rPr>
              <w:t>No legislated quota</w:t>
            </w:r>
            <w:r>
              <w:rPr>
                <w:b/>
                <w:bCs/>
              </w:rPr>
              <w:t xml:space="preserve"> </w:t>
            </w:r>
          </w:p>
          <w:p w14:paraId="29B9DAEC" w14:textId="3C0F7916" w:rsidR="004E2DDB" w:rsidRPr="00D921C3" w:rsidRDefault="004E2DDB" w:rsidP="004E2DDB">
            <w:pPr>
              <w:rPr>
                <w:szCs w:val="20"/>
              </w:rPr>
            </w:pPr>
            <w:r w:rsidRPr="00F61A24">
              <w:rPr>
                <w:b/>
                <w:bCs/>
                <w:szCs w:val="20"/>
              </w:rPr>
              <w:t>CEDAW</w:t>
            </w:r>
            <w:r>
              <w:rPr>
                <w:b/>
                <w:bCs/>
                <w:szCs w:val="20"/>
              </w:rPr>
              <w:t xml:space="preserve"> Concluding Observations </w:t>
            </w:r>
            <w:r w:rsidRPr="00D921C3">
              <w:rPr>
                <w:szCs w:val="20"/>
              </w:rPr>
              <w:t>(2022):</w:t>
            </w:r>
          </w:p>
          <w:p w14:paraId="5A105EA2" w14:textId="77777777" w:rsidR="004E2DDB" w:rsidRPr="00F61A24" w:rsidRDefault="004E2DDB" w:rsidP="004E2DDB">
            <w:pPr>
              <w:rPr>
                <w:b/>
                <w:bCs/>
                <w:szCs w:val="20"/>
              </w:rPr>
            </w:pPr>
            <w:r w:rsidRPr="00F61A24">
              <w:rPr>
                <w:b/>
                <w:bCs/>
                <w:szCs w:val="20"/>
              </w:rPr>
              <w:t xml:space="preserve">“34. Reiterating its previous recommendations (CEDAW/¢UKR/CO/8, para. 33), and recalling its general recommendation No. 23 (1997) on women in political and public life, the Committee recommends that the State party: </w:t>
            </w:r>
          </w:p>
          <w:p w14:paraId="410B50F5" w14:textId="77777777" w:rsidR="004E2DDB" w:rsidRDefault="004E2DDB" w:rsidP="004E2DDB">
            <w:pPr>
              <w:rPr>
                <w:szCs w:val="20"/>
              </w:rPr>
            </w:pPr>
            <w:r w:rsidRPr="00F61A24">
              <w:rPr>
                <w:szCs w:val="20"/>
              </w:rPr>
              <w:t xml:space="preserve">(b) </w:t>
            </w:r>
            <w:r w:rsidRPr="00F61A24">
              <w:rPr>
                <w:b/>
                <w:bCs/>
                <w:szCs w:val="20"/>
              </w:rPr>
              <w:t>Adopt temporary special measures, such as quotas and a gender parity system in the public and foreign services, in line with article 4 (1) of the Convention and the Committee’s general recommendation No. 25 (2004) on temporary special measures, to ensure equal representation of women in the public service and foreign service, especially at decision-making levels</w:t>
            </w:r>
            <w:r w:rsidRPr="00F61A24">
              <w:rPr>
                <w:szCs w:val="20"/>
              </w:rPr>
              <w:t>;”</w:t>
            </w:r>
            <w:r w:rsidRPr="00AA03E7">
              <w:rPr>
                <w:rStyle w:val="FootnoteReference"/>
              </w:rPr>
              <w:footnoteReference w:id="308"/>
            </w:r>
          </w:p>
          <w:p w14:paraId="778E8215" w14:textId="75F126F3" w:rsidR="004E2DDB" w:rsidRPr="00662CBC" w:rsidRDefault="004E2DDB" w:rsidP="00026009"/>
        </w:tc>
        <w:tc>
          <w:tcPr>
            <w:tcW w:w="903" w:type="pct"/>
            <w:shd w:val="clear" w:color="auto" w:fill="auto"/>
          </w:tcPr>
          <w:p w14:paraId="31214DDA" w14:textId="00A1CAE4" w:rsidR="004116DF" w:rsidRPr="00662CBC" w:rsidRDefault="004E2DDB" w:rsidP="00026009">
            <w:r>
              <w:t>—</w:t>
            </w:r>
          </w:p>
        </w:tc>
        <w:tc>
          <w:tcPr>
            <w:tcW w:w="949" w:type="pct"/>
            <w:shd w:val="clear" w:color="auto" w:fill="auto"/>
          </w:tcPr>
          <w:p w14:paraId="4AEF428F" w14:textId="17AFDFE3" w:rsidR="00E52872" w:rsidRDefault="00EC727C" w:rsidP="00B73D08">
            <w:pPr>
              <w:rPr>
                <w:b/>
                <w:bCs/>
              </w:rPr>
            </w:pPr>
            <w:r>
              <w:rPr>
                <w:b/>
                <w:bCs/>
              </w:rPr>
              <w:t xml:space="preserve">Under martial law </w:t>
            </w:r>
          </w:p>
          <w:p w14:paraId="20F64D8E" w14:textId="4B742822" w:rsidR="00E52872" w:rsidRDefault="00E52872" w:rsidP="00E52872">
            <w:pPr>
              <w:pStyle w:val="ListParagraph"/>
              <w:numPr>
                <w:ilvl w:val="0"/>
                <w:numId w:val="21"/>
              </w:numPr>
              <w:rPr>
                <w:b/>
                <w:bCs/>
              </w:rPr>
            </w:pPr>
            <w:r>
              <w:rPr>
                <w:b/>
                <w:bCs/>
              </w:rPr>
              <w:t xml:space="preserve">Requirements for service exist for </w:t>
            </w:r>
            <w:proofErr w:type="gramStart"/>
            <w:r>
              <w:rPr>
                <w:b/>
                <w:bCs/>
              </w:rPr>
              <w:t>men</w:t>
            </w:r>
            <w:proofErr w:type="gramEnd"/>
            <w:r>
              <w:rPr>
                <w:b/>
                <w:bCs/>
              </w:rPr>
              <w:t xml:space="preserve"> </w:t>
            </w:r>
          </w:p>
          <w:p w14:paraId="73FE076D" w14:textId="7F80022B" w:rsidR="00E52872" w:rsidRDefault="002415EE" w:rsidP="00E52872">
            <w:pPr>
              <w:pStyle w:val="ListParagraph"/>
              <w:numPr>
                <w:ilvl w:val="0"/>
                <w:numId w:val="21"/>
              </w:numPr>
              <w:rPr>
                <w:b/>
                <w:bCs/>
              </w:rPr>
            </w:pPr>
            <w:r>
              <w:rPr>
                <w:b/>
                <w:bCs/>
              </w:rPr>
              <w:t xml:space="preserve">Women </w:t>
            </w:r>
            <w:r w:rsidR="0075309E">
              <w:rPr>
                <w:b/>
                <w:bCs/>
              </w:rPr>
              <w:t xml:space="preserve">have certain </w:t>
            </w:r>
            <w:r w:rsidR="00FB7151">
              <w:rPr>
                <w:b/>
                <w:bCs/>
              </w:rPr>
              <w:t xml:space="preserve">registration </w:t>
            </w:r>
            <w:proofErr w:type="gramStart"/>
            <w:r w:rsidR="00FB7151">
              <w:rPr>
                <w:b/>
                <w:bCs/>
              </w:rPr>
              <w:t>obligations</w:t>
            </w:r>
            <w:proofErr w:type="gramEnd"/>
          </w:p>
          <w:p w14:paraId="5E58E21B" w14:textId="77777777" w:rsidR="0078003E" w:rsidRDefault="002415EE" w:rsidP="002415EE">
            <w:r>
              <w:t>“</w:t>
            </w:r>
            <w:r w:rsidR="0078003E" w:rsidRPr="00D754C2">
              <w:rPr>
                <w:i/>
                <w:iCs/>
              </w:rPr>
              <w:t>2015 Mobilization of women</w:t>
            </w:r>
            <w:r w:rsidR="0078003E" w:rsidRPr="005E3A20">
              <w:t xml:space="preserve"> </w:t>
            </w:r>
          </w:p>
          <w:p w14:paraId="3E322768" w14:textId="77777777" w:rsidR="00C35E5D" w:rsidRDefault="002415EE" w:rsidP="002415EE">
            <w:r w:rsidRPr="005E3A20">
              <w:t>In February 2015, the General Staff of the Ukrainian Armed Forces announced that it would be mobilizing women between the ages of 20 and 50 who had registered for and were eligible to be drafted</w:t>
            </w:r>
            <w:r w:rsidR="00C35E5D">
              <w:t xml:space="preserve">. […] </w:t>
            </w:r>
          </w:p>
          <w:p w14:paraId="251E9AFF" w14:textId="77777777" w:rsidR="00C35E5D" w:rsidRPr="00D754C2" w:rsidRDefault="00C35E5D" w:rsidP="00C35E5D">
            <w:pPr>
              <w:rPr>
                <w:i/>
                <w:iCs/>
              </w:rPr>
            </w:pPr>
            <w:r w:rsidRPr="00D754C2">
              <w:rPr>
                <w:i/>
                <w:iCs/>
              </w:rPr>
              <w:t xml:space="preserve">2021 Registration of women for conscription </w:t>
            </w:r>
          </w:p>
          <w:p w14:paraId="222CF6CA" w14:textId="77777777" w:rsidR="00C35E5D" w:rsidRDefault="00C35E5D" w:rsidP="00C35E5D">
            <w:r w:rsidRPr="00D754C2">
              <w:t xml:space="preserve">On October 11, 2021, Ukraine's Ministry of Defense issued Order No. 313 listing 100 professions and requiring all women between the ages of 18 and 60 years old employed in those professions to register with their local conscription office (Ministerstvo Oborony Ukraini, 2021). The listed professions included those associated with medical training and adjacent fields such as dentists, pharmacists, physical therapists, and </w:t>
            </w:r>
            <w:r w:rsidRPr="00D754C2">
              <w:lastRenderedPageBreak/>
              <w:t xml:space="preserve">veterinarians, as well as all support staff in those fields. Science back- grounds, including chemistry, biology, physics, as well as engineers, computer scientists, and software engineers, were also listed. Those with experience in management, finance, and banking were included, as were those with communications and logical skills, such as women working in telecommunications or as postal workers, translators, and interpreters. Cooks and individuals with experience processing livestock were listed as well. </w:t>
            </w:r>
          </w:p>
          <w:p w14:paraId="1FF123A9" w14:textId="77777777" w:rsidR="00F01544" w:rsidRDefault="00C35E5D" w:rsidP="00C35E5D">
            <w:r w:rsidRPr="00D754C2">
              <w:t xml:space="preserve">Similar to the 2015 mobilization, the 2021 registration order did not require women to participate in combat, nor did it institute universal conscription of women. In requiring women to register for potential military service, it increased the pool of individuals who could be mobilized without necessarily increasing the number of women who would be asked to serve in combat roles. Women would be given the opportunity to serve in Territorial Defense Units, for instance, rather than the frontlines. Yet similar to other military mobilization efforts, the order included fines for women who failed </w:t>
            </w:r>
            <w:r w:rsidRPr="00D754C2">
              <w:lastRenderedPageBreak/>
              <w:t>to register or who failed to complete required military training if called upon to do so (Slipchenko, 2021). It further required that employers verify the registration of their female employees.</w:t>
            </w:r>
          </w:p>
          <w:p w14:paraId="525868F9" w14:textId="24BFF78B" w:rsidR="00F01544" w:rsidRDefault="00F01544" w:rsidP="00C35E5D">
            <w:r>
              <w:t>[…] </w:t>
            </w:r>
          </w:p>
          <w:p w14:paraId="27A6A98A" w14:textId="701CC654" w:rsidR="002415EE" w:rsidRDefault="00F01544" w:rsidP="00C35E5D">
            <w:r w:rsidRPr="00F01544">
              <w:rPr>
                <w:i/>
                <w:iCs/>
              </w:rPr>
              <w:t xml:space="preserve">2022 Declaration of martial law </w:t>
            </w:r>
            <w:r>
              <w:t>[…] </w:t>
            </w:r>
            <w:r w:rsidRPr="00F01544">
              <w:t xml:space="preserve">An immediate effect of this provision was the distortion of the sex distribution of those fleeing the country. By design, the Ukrainian government restricted refugee flows to overrepresent women. The </w:t>
            </w:r>
            <w:proofErr w:type="spellStart"/>
            <w:r w:rsidRPr="00F01544">
              <w:t>decla</w:t>
            </w:r>
            <w:proofErr w:type="spellEnd"/>
            <w:r w:rsidRPr="00F01544">
              <w:t>- ration of martial law has positioned women as responsible for the burden of care for children and elderly persons, especially those seeking safety abroad (</w:t>
            </w:r>
            <w:proofErr w:type="spellStart"/>
            <w:r w:rsidRPr="00F01544">
              <w:t>Cindoglu</w:t>
            </w:r>
            <w:proofErr w:type="spellEnd"/>
            <w:r w:rsidRPr="00F01544">
              <w:t xml:space="preserve">, 2022). The United Nations estimates that 90 % of Ukrainian refugees are “women and children.” However, a gender-sex breakdown of all Ukrainian refugees is not currently available (CARE &amp; UN Women, 2022). Consistent with prior policy, Ukrainian women were given greater agency than men based on what could be interpreted as their </w:t>
            </w:r>
            <w:r w:rsidRPr="00F01544">
              <w:lastRenderedPageBreak/>
              <w:t>perceived lesser value to the state</w:t>
            </w:r>
            <w:r>
              <w:t>.</w:t>
            </w:r>
            <w:r w:rsidR="00C35E5D">
              <w:t>”</w:t>
            </w:r>
            <w:r w:rsidR="002415EE" w:rsidRPr="005D2F5A">
              <w:rPr>
                <w:rStyle w:val="FootnoteReference"/>
              </w:rPr>
              <w:footnoteReference w:id="309"/>
            </w:r>
          </w:p>
          <w:p w14:paraId="311001F7" w14:textId="77777777" w:rsidR="002415EE" w:rsidRPr="002415EE" w:rsidRDefault="002415EE" w:rsidP="002415EE">
            <w:pPr>
              <w:rPr>
                <w:b/>
                <w:bCs/>
              </w:rPr>
            </w:pPr>
          </w:p>
          <w:p w14:paraId="2A0A2142" w14:textId="4431F0CA" w:rsidR="00B73D08" w:rsidRDefault="00B73D08" w:rsidP="00B73D08">
            <w:r>
              <w:t>“C</w:t>
            </w:r>
            <w:r w:rsidRPr="00B73D08">
              <w:t>onscription abolished in 2012, but reintroduced in 2014; 20-27 years of age for compulsory military service; prior to the Russian invasion of February 2022, conscript service obligation was 12-18 months, depending on the service (2022)</w:t>
            </w:r>
          </w:p>
          <w:p w14:paraId="044417B2" w14:textId="0E673FE0" w:rsidR="00B73D08" w:rsidRDefault="00B73D08" w:rsidP="00B73D08">
            <w:r w:rsidRPr="00B73D08">
              <w:rPr>
                <w:b/>
                <w:bCs/>
              </w:rPr>
              <w:t>note 1: </w:t>
            </w:r>
            <w:r w:rsidRPr="00B73D08">
              <w:t xml:space="preserve">following the Russian invasion in 2022, all nonexempt men ages 18 to 60 were required to register with their local recruitment offices and undergo medical screening for possible service; the Territorial Defense Forces (TDF) accepts volunteers, 18-60 years of age; since the invasion, hundreds of thousands of Ukrainians have volunteered for the regular armed forces, the TDF, or to work in civilian defense </w:t>
            </w:r>
            <w:proofErr w:type="gramStart"/>
            <w:r w:rsidRPr="00B73D08">
              <w:t>activities</w:t>
            </w:r>
            <w:proofErr w:type="gramEnd"/>
            <w:r w:rsidRPr="00B73D08">
              <w:t> </w:t>
            </w:r>
          </w:p>
          <w:p w14:paraId="6937286E" w14:textId="7E83F543" w:rsidR="00B73D08" w:rsidRDefault="00B73D08" w:rsidP="005E3A20">
            <w:r w:rsidRPr="00B73D08">
              <w:rPr>
                <w:b/>
                <w:bCs/>
              </w:rPr>
              <w:t>note 2: </w:t>
            </w:r>
            <w:r w:rsidRPr="00B73D08">
              <w:t xml:space="preserve">women have been able to volunteer for military service since 1993; as of late 2022, </w:t>
            </w:r>
            <w:r w:rsidRPr="00B73D08">
              <w:lastRenderedPageBreak/>
              <w:t>approximately 60,000 women were serving in the armed forces </w:t>
            </w:r>
            <w:r w:rsidR="007627C3">
              <w:t>“</w:t>
            </w:r>
            <w:r w:rsidR="007627C3" w:rsidRPr="005D2F5A">
              <w:rPr>
                <w:rStyle w:val="FootnoteReference"/>
              </w:rPr>
              <w:footnoteReference w:id="310"/>
            </w:r>
          </w:p>
          <w:p w14:paraId="023A88C1" w14:textId="64DB53F0" w:rsidR="007627C3" w:rsidRPr="00662CBC" w:rsidRDefault="007627C3" w:rsidP="002415EE"/>
        </w:tc>
        <w:tc>
          <w:tcPr>
            <w:tcW w:w="677" w:type="pct"/>
            <w:shd w:val="clear" w:color="auto" w:fill="auto"/>
          </w:tcPr>
          <w:p w14:paraId="4A83C8E5" w14:textId="65EC763C" w:rsidR="004116DF" w:rsidRDefault="00000000" w:rsidP="00026009">
            <w:hyperlink r:id="rId119" w:history="1">
              <w:r w:rsidR="006A6897" w:rsidRPr="00577762">
                <w:rPr>
                  <w:rStyle w:val="Hyperlink"/>
                  <w:b/>
                  <w:bCs/>
                </w:rPr>
                <w:t>NAP</w:t>
              </w:r>
              <w:r w:rsidR="00577762" w:rsidRPr="00577762">
                <w:rPr>
                  <w:rStyle w:val="Hyperlink"/>
                  <w:b/>
                  <w:bCs/>
                </w:rPr>
                <w:t xml:space="preserve"> 2016-2020</w:t>
              </w:r>
              <w:r w:rsidR="00577762" w:rsidRPr="00577762">
                <w:rPr>
                  <w:rStyle w:val="Hyperlink"/>
                </w:rPr>
                <w:t>(2016)</w:t>
              </w:r>
            </w:hyperlink>
          </w:p>
          <w:p w14:paraId="7B31CB06" w14:textId="7440B919" w:rsidR="00577762" w:rsidRDefault="00000000" w:rsidP="00026009">
            <w:hyperlink r:id="rId120" w:history="1">
              <w:r w:rsidR="00577762" w:rsidRPr="00577762">
                <w:rPr>
                  <w:rStyle w:val="Hyperlink"/>
                  <w:b/>
                  <w:bCs/>
                </w:rPr>
                <w:t xml:space="preserve">NAP 2020-2025 </w:t>
              </w:r>
              <w:r w:rsidR="00577762" w:rsidRPr="00577762">
                <w:rPr>
                  <w:rStyle w:val="Hyperlink"/>
                </w:rPr>
                <w:t>(2020)</w:t>
              </w:r>
            </w:hyperlink>
          </w:p>
          <w:p w14:paraId="65B45F29" w14:textId="7DCEB378" w:rsidR="00577762" w:rsidRPr="00577762" w:rsidRDefault="00577762" w:rsidP="00026009"/>
        </w:tc>
      </w:tr>
      <w:tr w:rsidR="00CB5BD0" w:rsidRPr="00662CBC" w14:paraId="4032EF6A" w14:textId="77777777" w:rsidTr="00F37D6B">
        <w:tc>
          <w:tcPr>
            <w:tcW w:w="139" w:type="pct"/>
            <w:shd w:val="clear" w:color="auto" w:fill="auto"/>
          </w:tcPr>
          <w:p w14:paraId="2DFCBBFD"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53C4A63C" w14:textId="77777777" w:rsidR="004116DF" w:rsidRPr="00662CBC" w:rsidRDefault="004116DF" w:rsidP="006064D6">
            <w:pPr>
              <w:pStyle w:val="Heading3"/>
            </w:pPr>
            <w:bookmarkStart w:id="53" w:name="_Toc132806736"/>
            <w:r w:rsidRPr="00662CBC">
              <w:t>United Kingdom</w:t>
            </w:r>
            <w:bookmarkEnd w:id="53"/>
          </w:p>
          <w:p w14:paraId="3A2A3705" w14:textId="77777777" w:rsidR="004116DF" w:rsidRPr="00662CBC" w:rsidRDefault="004116DF" w:rsidP="006064D6">
            <w:pPr>
              <w:rPr>
                <w:b/>
                <w:bCs/>
                <w:szCs w:val="20"/>
              </w:rPr>
            </w:pPr>
          </w:p>
        </w:tc>
        <w:tc>
          <w:tcPr>
            <w:tcW w:w="855" w:type="pct"/>
            <w:shd w:val="clear" w:color="auto" w:fill="auto"/>
          </w:tcPr>
          <w:p w14:paraId="1AC12201" w14:textId="374EDEFD" w:rsidR="004116DF" w:rsidRDefault="00DD258D" w:rsidP="00026009">
            <w:pPr>
              <w:rPr>
                <w:b/>
                <w:bCs/>
              </w:rPr>
            </w:pPr>
            <w:r>
              <w:rPr>
                <w:b/>
                <w:bCs/>
              </w:rPr>
              <w:t>NDC</w:t>
            </w:r>
            <w:r w:rsidR="00DC139D">
              <w:rPr>
                <w:b/>
                <w:bCs/>
              </w:rPr>
              <w:t xml:space="preserve"> 2021-2030</w:t>
            </w:r>
          </w:p>
          <w:p w14:paraId="1FE2448B" w14:textId="67CD5631" w:rsidR="00944E43" w:rsidRPr="00DC139D" w:rsidRDefault="00944E43" w:rsidP="00026009">
            <w:r w:rsidRPr="00DC139D">
              <w:t>Gender Sensitive and identifies women as stakeholders</w:t>
            </w:r>
            <w:r w:rsidR="00DC139D">
              <w:rPr>
                <w:rStyle w:val="FootnoteReference"/>
              </w:rPr>
              <w:footnoteReference w:id="311"/>
            </w:r>
          </w:p>
        </w:tc>
        <w:tc>
          <w:tcPr>
            <w:tcW w:w="1023" w:type="pct"/>
            <w:shd w:val="clear" w:color="auto" w:fill="auto"/>
          </w:tcPr>
          <w:p w14:paraId="546A78C3" w14:textId="77777777" w:rsidR="0045145F" w:rsidRDefault="0045145F" w:rsidP="006F18C9">
            <w:pPr>
              <w:rPr>
                <w:b/>
                <w:bCs/>
              </w:rPr>
            </w:pPr>
            <w:r w:rsidRPr="0045145F">
              <w:rPr>
                <w:b/>
                <w:bCs/>
              </w:rPr>
              <w:t>No legislated quota</w:t>
            </w:r>
            <w:r>
              <w:rPr>
                <w:b/>
                <w:bCs/>
              </w:rPr>
              <w:t xml:space="preserve"> </w:t>
            </w:r>
          </w:p>
          <w:p w14:paraId="6ACFA08B" w14:textId="1582C273" w:rsidR="008C58E2" w:rsidRPr="009F6705" w:rsidRDefault="00000000" w:rsidP="006F18C9">
            <w:hyperlink r:id="rId121" w:history="1">
              <w:r w:rsidR="009F6705" w:rsidRPr="00346805">
                <w:rPr>
                  <w:rStyle w:val="Hyperlink"/>
                </w:rPr>
                <w:t>Constitutional Reform and Governance Act 2010, s.10</w:t>
              </w:r>
            </w:hyperlink>
            <w:r w:rsidR="009F6705">
              <w:t xml:space="preserve">: regulates </w:t>
            </w:r>
            <w:r w:rsidR="009F6705" w:rsidRPr="009F6705">
              <w:t>Selections for appointments to the civil service</w:t>
            </w:r>
            <w:r w:rsidR="009F6705">
              <w:t xml:space="preserve"> and does not mention gender</w:t>
            </w:r>
          </w:p>
          <w:p w14:paraId="5B04BD64" w14:textId="77777777" w:rsidR="001374B4" w:rsidRDefault="001374B4" w:rsidP="001374B4">
            <w:pPr>
              <w:rPr>
                <w:szCs w:val="20"/>
              </w:rPr>
            </w:pPr>
          </w:p>
          <w:p w14:paraId="5FE283D0" w14:textId="77777777" w:rsidR="001374B4" w:rsidRPr="00CF23D4" w:rsidRDefault="001374B4" w:rsidP="001374B4">
            <w:pPr>
              <w:rPr>
                <w:szCs w:val="20"/>
              </w:rPr>
            </w:pPr>
            <w:r w:rsidRPr="00F61A24">
              <w:rPr>
                <w:b/>
                <w:bCs/>
                <w:szCs w:val="20"/>
              </w:rPr>
              <w:t>CEDAW</w:t>
            </w:r>
            <w:r>
              <w:rPr>
                <w:b/>
                <w:bCs/>
                <w:szCs w:val="20"/>
              </w:rPr>
              <w:t xml:space="preserve"> Concluding Observations </w:t>
            </w:r>
            <w:r>
              <w:rPr>
                <w:szCs w:val="20"/>
              </w:rPr>
              <w:t>(2019):</w:t>
            </w:r>
          </w:p>
          <w:p w14:paraId="0FE79E47" w14:textId="77777777" w:rsidR="001374B4" w:rsidRPr="00F61A24" w:rsidRDefault="001374B4" w:rsidP="001374B4">
            <w:pPr>
              <w:rPr>
                <w:b/>
                <w:bCs/>
                <w:szCs w:val="20"/>
              </w:rPr>
            </w:pPr>
            <w:r w:rsidRPr="00F61A24">
              <w:rPr>
                <w:b/>
                <w:bCs/>
                <w:szCs w:val="20"/>
              </w:rPr>
              <w:t xml:space="preserve">“38. The Committee recommends that the State party take specific targeted measures, including temporary special measures, to improve the representation of women, including “Black, Asian and Minority Ethnic” women and women with disabilities, in Parliament, the judiciary and decision-making positions in the foreign service and its </w:t>
            </w:r>
            <w:r w:rsidRPr="00F61A24">
              <w:rPr>
                <w:b/>
                <w:bCs/>
                <w:szCs w:val="20"/>
              </w:rPr>
              <w:lastRenderedPageBreak/>
              <w:t>diplomatic missions. It calls upon the State party to take measures to address the low representation of women in political and public life in Northern Ireland, including by ensuring the implementation of section 43 A of the Sex Discrimination (Northern Ireland) Order 1976 enabling the use of gender quotas.”</w:t>
            </w:r>
            <w:r w:rsidRPr="00F61A24">
              <w:rPr>
                <w:rStyle w:val="FootnoteReference"/>
                <w:b/>
                <w:bCs/>
                <w:szCs w:val="20"/>
              </w:rPr>
              <w:t xml:space="preserve"> </w:t>
            </w:r>
            <w:r w:rsidRPr="00AA03E7">
              <w:rPr>
                <w:rStyle w:val="FootnoteReference"/>
              </w:rPr>
              <w:footnoteReference w:id="312"/>
            </w:r>
          </w:p>
          <w:p w14:paraId="25E87E3E" w14:textId="77777777" w:rsidR="00144E20" w:rsidRDefault="00144E20" w:rsidP="006F18C9"/>
          <w:p w14:paraId="6A9E6E92" w14:textId="77777777" w:rsidR="001374B4" w:rsidRDefault="001374B4" w:rsidP="006F18C9">
            <w:pPr>
              <w:rPr>
                <w:b/>
                <w:bCs/>
              </w:rPr>
            </w:pPr>
          </w:p>
          <w:p w14:paraId="6E2F7683" w14:textId="3B86D261" w:rsidR="008A1EF4" w:rsidRDefault="008A1EF4" w:rsidP="00026009">
            <w:r>
              <w:rPr>
                <w:b/>
                <w:bCs/>
              </w:rPr>
              <w:t>Note 1: Numbers</w:t>
            </w:r>
            <w:r>
              <w:t xml:space="preserve">: </w:t>
            </w:r>
          </w:p>
          <w:p w14:paraId="7742295A" w14:textId="7B9FC3CA" w:rsidR="008A1EF4" w:rsidRDefault="008A1EF4" w:rsidP="00026009">
            <w:r>
              <w:t>2017: “</w:t>
            </w:r>
            <w:r w:rsidR="00E22BED" w:rsidRPr="00E22BED">
              <w:t>Senior representation of women is at a record high with women comprising 42% of the SCS.</w:t>
            </w:r>
            <w:r w:rsidR="00E22BED">
              <w:t xml:space="preserve"> [Senior Civil Service].</w:t>
            </w:r>
            <w:r w:rsidR="00A76BD8">
              <w:t>”</w:t>
            </w:r>
            <w:r w:rsidR="00A76BD8">
              <w:rPr>
                <w:rStyle w:val="FootnoteReference"/>
              </w:rPr>
              <w:footnoteReference w:id="313"/>
            </w:r>
          </w:p>
          <w:p w14:paraId="50D5BD34" w14:textId="74C6E1E5" w:rsidR="003E79E4" w:rsidRPr="008A1EF4" w:rsidRDefault="003E79E4" w:rsidP="003E79E4">
            <w:r w:rsidRPr="00EB399B">
              <w:rPr>
                <w:rFonts w:eastAsia="Garamond"/>
              </w:rPr>
              <w:sym w:font="Symbol" w:char="F0AE"/>
            </w:r>
            <w:r w:rsidR="00023EE6">
              <w:rPr>
                <w:rFonts w:eastAsia="Garamond"/>
              </w:rPr>
              <w:t xml:space="preserve"> N.B.</w:t>
            </w:r>
            <w:r>
              <w:rPr>
                <w:rFonts w:eastAsia="Garamond"/>
              </w:rPr>
              <w:t xml:space="preserve"> this quote stems from a strategy aiming at making the civil service more inclusive. It also addresses (women who are) minorities, LGBTQI+, people with disabilities. It was superseded by a </w:t>
            </w:r>
            <w:r w:rsidRPr="003E79E4">
              <w:rPr>
                <w:rFonts w:eastAsia="Garamond"/>
              </w:rPr>
              <w:t>new strategy</w:t>
            </w:r>
            <w:r w:rsidRPr="003E79E4">
              <w:t xml:space="preserve"> </w:t>
            </w:r>
            <w:r>
              <w:t>(</w:t>
            </w:r>
            <w:hyperlink r:id="rId122" w:history="1">
              <w:r w:rsidRPr="003E79E4">
                <w:rPr>
                  <w:rStyle w:val="Hyperlink"/>
                </w:rPr>
                <w:t>Civil Service Diversity and Inclusion Strategy 2022-2025</w:t>
              </w:r>
            </w:hyperlink>
            <w:r w:rsidRPr="003E79E4">
              <w:t>)</w:t>
            </w:r>
            <w:r>
              <w:rPr>
                <w:rFonts w:eastAsia="Garamond"/>
              </w:rPr>
              <w:t xml:space="preserve"> that does </w:t>
            </w:r>
            <w:r>
              <w:rPr>
                <w:rFonts w:eastAsia="Garamond"/>
              </w:rPr>
              <w:lastRenderedPageBreak/>
              <w:t xml:space="preserve">not mention </w:t>
            </w:r>
            <w:r w:rsidR="00023EE6">
              <w:rPr>
                <w:rFonts w:eastAsia="Garamond"/>
              </w:rPr>
              <w:t>any of these groups and does not mention gender once.</w:t>
            </w:r>
          </w:p>
          <w:p w14:paraId="2500D977" w14:textId="3CCC8472" w:rsidR="000842D6" w:rsidRPr="00144E20" w:rsidRDefault="000842D6" w:rsidP="00144E20">
            <w:pPr>
              <w:rPr>
                <w:b/>
                <w:bCs/>
              </w:rPr>
            </w:pPr>
            <w:r w:rsidRPr="000842D6">
              <w:rPr>
                <w:b/>
                <w:bCs/>
              </w:rPr>
              <w:t>Note</w:t>
            </w:r>
            <w:r w:rsidR="001374B4">
              <w:rPr>
                <w:b/>
                <w:bCs/>
              </w:rPr>
              <w:t xml:space="preserve"> 2:</w:t>
            </w:r>
            <w:r>
              <w:t xml:space="preserve"> </w:t>
            </w:r>
            <w:r w:rsidRPr="000842D6">
              <w:t>International Development (Gender Equality) Act 2014</w:t>
            </w:r>
            <w:r>
              <w:t xml:space="preserve"> — lists the duty to consider the effect of humanitarian assistance on gender equality</w:t>
            </w:r>
            <w:r w:rsidR="001374B4">
              <w:t>.</w:t>
            </w:r>
          </w:p>
          <w:p w14:paraId="71DFB699" w14:textId="77777777" w:rsidR="008A1EF4" w:rsidRDefault="008A1EF4" w:rsidP="00026009"/>
          <w:p w14:paraId="5222677D" w14:textId="0D38F52B" w:rsidR="00144E20" w:rsidRPr="008A1EF4" w:rsidRDefault="00144E20" w:rsidP="00026009"/>
        </w:tc>
        <w:tc>
          <w:tcPr>
            <w:tcW w:w="903" w:type="pct"/>
            <w:shd w:val="clear" w:color="auto" w:fill="auto"/>
          </w:tcPr>
          <w:p w14:paraId="1CAB9502" w14:textId="77777777" w:rsidR="0045145F" w:rsidRDefault="0045145F" w:rsidP="00754B75">
            <w:pPr>
              <w:rPr>
                <w:b/>
                <w:bCs/>
              </w:rPr>
            </w:pPr>
            <w:r w:rsidRPr="0045145F">
              <w:rPr>
                <w:b/>
                <w:bCs/>
              </w:rPr>
              <w:lastRenderedPageBreak/>
              <w:t>No legislated quota</w:t>
            </w:r>
            <w:r>
              <w:rPr>
                <w:b/>
                <w:bCs/>
              </w:rPr>
              <w:t xml:space="preserve"> </w:t>
            </w:r>
          </w:p>
          <w:p w14:paraId="6F2C2632" w14:textId="14A86EB3" w:rsidR="00754B75" w:rsidRDefault="00E1250B" w:rsidP="00754B75">
            <w:r>
              <w:t>“</w:t>
            </w:r>
            <w:r w:rsidR="00890807" w:rsidRPr="00E1250B">
              <w:t>15. There are no fixed quotas to increase the representation of women or other groups in the Armed Forces</w:t>
            </w:r>
            <w:r>
              <w:t>”</w:t>
            </w:r>
            <w:r w:rsidR="00890807" w:rsidRPr="00E1250B">
              <w:t>.</w:t>
            </w:r>
            <w:r w:rsidR="00890807" w:rsidRPr="00E1250B">
              <w:rPr>
                <w:rStyle w:val="FootnoteReference"/>
              </w:rPr>
              <w:footnoteReference w:id="314"/>
            </w:r>
          </w:p>
          <w:p w14:paraId="7746A494" w14:textId="77777777" w:rsidR="00754B75" w:rsidRDefault="00754B75" w:rsidP="00754B75"/>
          <w:p w14:paraId="0BC2404E" w14:textId="77777777" w:rsidR="00754B75" w:rsidRPr="00E5243F" w:rsidRDefault="00754B75" w:rsidP="00754B75">
            <w:pPr>
              <w:rPr>
                <w:b/>
                <w:bCs/>
              </w:rPr>
            </w:pPr>
            <w:r>
              <w:rPr>
                <w:b/>
                <w:bCs/>
              </w:rPr>
              <w:t>Note 1: No restrictions for women.</w:t>
            </w:r>
          </w:p>
          <w:p w14:paraId="3629B8CB" w14:textId="77777777" w:rsidR="00754B75" w:rsidRDefault="00754B75" w:rsidP="00754B75">
            <w:r w:rsidRPr="00AF7AC2">
              <w:t>“On 8 July 2016, the Prime Minister announced that the exclusions on women serving in Ground Close Combat roles had been lifted. Implementation started in 2016. In 2020 women serve in all parts of the Armed Forces.”</w:t>
            </w:r>
            <w:r w:rsidRPr="00AF7AC2">
              <w:rPr>
                <w:rStyle w:val="FootnoteReference"/>
              </w:rPr>
              <w:t xml:space="preserve"> </w:t>
            </w:r>
            <w:r w:rsidRPr="00AF7AC2">
              <w:rPr>
                <w:rStyle w:val="FootnoteReference"/>
              </w:rPr>
              <w:footnoteReference w:id="315"/>
            </w:r>
          </w:p>
          <w:p w14:paraId="79A31005" w14:textId="77777777" w:rsidR="00754B75" w:rsidRDefault="00754B75" w:rsidP="00754B75">
            <w:pPr>
              <w:spacing w:after="0"/>
              <w:rPr>
                <w:b/>
                <w:bCs/>
              </w:rPr>
            </w:pPr>
            <w:r>
              <w:rPr>
                <w:b/>
                <w:bCs/>
              </w:rPr>
              <w:lastRenderedPageBreak/>
              <w:t>Note 2: I</w:t>
            </w:r>
            <w:r w:rsidRPr="00220FBE">
              <w:rPr>
                <w:b/>
                <w:bCs/>
              </w:rPr>
              <w:t>nstitutional</w:t>
            </w:r>
            <w:r>
              <w:rPr>
                <w:b/>
                <w:bCs/>
              </w:rPr>
              <w:t xml:space="preserve"> integration of gender. </w:t>
            </w:r>
          </w:p>
          <w:p w14:paraId="7FAA8C92" w14:textId="77777777" w:rsidR="00754B75" w:rsidRPr="00AF7AC2" w:rsidRDefault="00754B75" w:rsidP="00754B75">
            <w:pPr>
              <w:spacing w:after="0"/>
            </w:pPr>
            <w:r>
              <w:t>“</w:t>
            </w:r>
            <w:r w:rsidRPr="00AF7AC2">
              <w:t>The British Armed Forces and the MoD have dedicated personnel within each Service to support the implementation of gender perspectives and have a pool of trained Gender Advisors.</w:t>
            </w:r>
            <w:r>
              <w:t>”</w:t>
            </w:r>
            <w:r w:rsidRPr="00AF7AC2">
              <w:rPr>
                <w:rStyle w:val="FootnoteReference"/>
              </w:rPr>
              <w:t xml:space="preserve"> </w:t>
            </w:r>
            <w:r w:rsidRPr="00AF7AC2">
              <w:rPr>
                <w:rStyle w:val="FootnoteReference"/>
              </w:rPr>
              <w:footnoteReference w:id="316"/>
            </w:r>
          </w:p>
          <w:p w14:paraId="4CDFA783" w14:textId="77777777" w:rsidR="00754B75" w:rsidRDefault="00754B75" w:rsidP="00754B75">
            <w:pPr>
              <w:rPr>
                <w:b/>
                <w:bCs/>
              </w:rPr>
            </w:pPr>
            <w:r>
              <w:rPr>
                <w:b/>
                <w:bCs/>
              </w:rPr>
              <w:t>Note 3</w:t>
            </w:r>
            <w:r w:rsidRPr="00C50216">
              <w:t xml:space="preserve">: </w:t>
            </w:r>
            <w:r>
              <w:rPr>
                <w:b/>
                <w:bCs/>
              </w:rPr>
              <w:t>Suitable military equipment/facilities/uniforms for both sexes.</w:t>
            </w:r>
          </w:p>
          <w:p w14:paraId="0CE8FED5" w14:textId="3C973AEE" w:rsidR="00754B75" w:rsidRPr="00E1250B" w:rsidRDefault="00754B75" w:rsidP="00754B75">
            <w:r w:rsidRPr="00AF7AC2">
              <w:t xml:space="preserve">“Military equipment is adjusted to both women and men. Military facilities are adapted for both women and men. Ablutions are </w:t>
            </w:r>
            <w:proofErr w:type="gramStart"/>
            <w:r w:rsidRPr="00AF7AC2">
              <w:t>single-sex</w:t>
            </w:r>
            <w:proofErr w:type="gramEnd"/>
            <w:r w:rsidRPr="00AF7AC2">
              <w:t xml:space="preserve"> in most facilities. Where they are mixed there are single-sex lockable cubicles to respect privacy, ethnic </w:t>
            </w:r>
            <w:proofErr w:type="gramStart"/>
            <w:r w:rsidRPr="00AF7AC2">
              <w:t>origin</w:t>
            </w:r>
            <w:proofErr w:type="gramEnd"/>
            <w:r w:rsidRPr="00AF7AC2">
              <w:t xml:space="preserve"> and cultural difference. Combat uniforms are not fitted to women or men, barrack dress designs for women and men. There is a </w:t>
            </w:r>
            <w:proofErr w:type="gramStart"/>
            <w:r w:rsidRPr="00AF7AC2">
              <w:t>trouser options</w:t>
            </w:r>
            <w:proofErr w:type="gramEnd"/>
            <w:r w:rsidRPr="00AF7AC2">
              <w:t xml:space="preserve"> for women. When required, service uniforms for both </w:t>
            </w:r>
            <w:r w:rsidRPr="00AF7AC2">
              <w:lastRenderedPageBreak/>
              <w:t>women and men can be tailored.”</w:t>
            </w:r>
            <w:r w:rsidRPr="00AF7AC2">
              <w:rPr>
                <w:rStyle w:val="FootnoteReference"/>
              </w:rPr>
              <w:footnoteReference w:id="317"/>
            </w:r>
          </w:p>
        </w:tc>
        <w:tc>
          <w:tcPr>
            <w:tcW w:w="949" w:type="pct"/>
            <w:shd w:val="clear" w:color="auto" w:fill="auto"/>
          </w:tcPr>
          <w:p w14:paraId="03096FAA" w14:textId="4D3F381E" w:rsidR="00527E3F" w:rsidRPr="00E1250B" w:rsidRDefault="00E1250B" w:rsidP="00026009">
            <w:r>
              <w:rPr>
                <w:b/>
                <w:bCs/>
              </w:rPr>
              <w:lastRenderedPageBreak/>
              <w:t>No mandatory service</w:t>
            </w:r>
            <w:r>
              <w:t>.</w:t>
            </w:r>
          </w:p>
          <w:p w14:paraId="4143E87B" w14:textId="0AEFF1DC" w:rsidR="004116DF" w:rsidRPr="00662CBC" w:rsidRDefault="009A3448" w:rsidP="00527E3F">
            <w:r>
              <w:t>“</w:t>
            </w:r>
            <w:r w:rsidR="00527E3F" w:rsidRPr="00527E3F">
              <w:t>some variations by service, but generally 16-36 years of age for enlisted (with parental consent under 18) and 18-29 for officers; minimum length of service 4 years; women serve in all military services including combat roles; conscription abolished in 1963 (2022)</w:t>
            </w:r>
            <w:r w:rsidR="00527E3F" w:rsidRPr="00527E3F">
              <w:br/>
            </w:r>
            <w:r w:rsidR="00527E3F" w:rsidRPr="00527E3F">
              <w:rPr>
                <w:b/>
                <w:bCs/>
              </w:rPr>
              <w:t>note 1:</w:t>
            </w:r>
            <w:r w:rsidR="00527E3F" w:rsidRPr="00527E3F">
              <w:t> women made up about 11% of the military's full-time personnel in 2021</w:t>
            </w:r>
            <w:r w:rsidR="00527E3F" w:rsidRPr="00527E3F">
              <w:br/>
            </w:r>
            <w:r w:rsidR="00527E3F" w:rsidRPr="00527E3F">
              <w:rPr>
                <w:b/>
                <w:bCs/>
              </w:rPr>
              <w:t>note 2:</w:t>
            </w:r>
            <w:r w:rsidR="00527E3F" w:rsidRPr="00527E3F">
              <w:t> the British military allows Commonwealth nationals who are current UK residents and have been in the country for at least 5 years to apply; it also accepts Irish citizens</w:t>
            </w:r>
            <w:r w:rsidR="00527E3F" w:rsidRPr="00527E3F">
              <w:br/>
            </w:r>
            <w:r w:rsidR="00527E3F" w:rsidRPr="00527E3F">
              <w:rPr>
                <w:b/>
                <w:bCs/>
              </w:rPr>
              <w:lastRenderedPageBreak/>
              <w:t>note 3:</w:t>
            </w:r>
            <w:r w:rsidR="00527E3F" w:rsidRPr="00527E3F">
              <w:t> the British Army has continued the historic practice of recruiting Gurkhas from Nepal to serve in the Brigade of Gurkhas; the British began to recruit Nepalese citizens (Gurkhas) into the East India Company Army during the Anglo-Nepalese War (1814-1816); the Gurkhas subsequently were brought into the British Indian Army and by 1914, there were 10 Gurkha regiments, collectively known as the Gurkha Brigade; following the partition of India in 1947, an agreement between Nepal, India, and Great Britain allowed for the transfer of the 10 regiments from the British Indian Army to the separate British and Indian armies; four of the regiments were transferred to the British Army, where they have since served continuously as the Brigade of Gurkhas</w:t>
            </w:r>
            <w:r>
              <w:t>”</w:t>
            </w:r>
            <w:r w:rsidR="004116DF" w:rsidRPr="005D2F5A">
              <w:rPr>
                <w:rStyle w:val="FootnoteReference"/>
              </w:rPr>
              <w:footnoteReference w:id="318"/>
            </w:r>
          </w:p>
        </w:tc>
        <w:tc>
          <w:tcPr>
            <w:tcW w:w="677" w:type="pct"/>
            <w:shd w:val="clear" w:color="auto" w:fill="auto"/>
          </w:tcPr>
          <w:p w14:paraId="4496058A" w14:textId="50BD8C33" w:rsidR="004116DF" w:rsidRDefault="00000000" w:rsidP="00026009">
            <w:hyperlink r:id="rId123" w:history="1">
              <w:r w:rsidR="006A6897" w:rsidRPr="00F77736">
                <w:rPr>
                  <w:rStyle w:val="Hyperlink"/>
                  <w:b/>
                  <w:bCs/>
                </w:rPr>
                <w:t>NAP</w:t>
              </w:r>
              <w:r w:rsidR="00527E3F" w:rsidRPr="00F77736">
                <w:rPr>
                  <w:rStyle w:val="Hyperlink"/>
                  <w:b/>
                  <w:bCs/>
                </w:rPr>
                <w:t xml:space="preserve"> </w:t>
              </w:r>
              <w:r w:rsidR="00527E3F" w:rsidRPr="00F77736">
                <w:rPr>
                  <w:rStyle w:val="Hyperlink"/>
                </w:rPr>
                <w:t>(2006)</w:t>
              </w:r>
            </w:hyperlink>
          </w:p>
          <w:p w14:paraId="4E74A870" w14:textId="7CDF38B1" w:rsidR="00527E3F" w:rsidRDefault="00000000" w:rsidP="00026009">
            <w:hyperlink r:id="rId124" w:history="1">
              <w:r w:rsidR="00527E3F" w:rsidRPr="00F77736">
                <w:rPr>
                  <w:rStyle w:val="Hyperlink"/>
                  <w:b/>
                  <w:bCs/>
                </w:rPr>
                <w:t>NAP</w:t>
              </w:r>
              <w:r w:rsidR="00526B84">
                <w:rPr>
                  <w:rStyle w:val="Hyperlink"/>
                  <w:b/>
                  <w:bCs/>
                </w:rPr>
                <w:t xml:space="preserve"> 2010-2013</w:t>
              </w:r>
              <w:r w:rsidR="00527E3F" w:rsidRPr="00F77736">
                <w:rPr>
                  <w:rStyle w:val="Hyperlink"/>
                  <w:b/>
                  <w:bCs/>
                </w:rPr>
                <w:t xml:space="preserve"> </w:t>
              </w:r>
              <w:r w:rsidR="00527E3F" w:rsidRPr="00F77736">
                <w:rPr>
                  <w:rStyle w:val="Hyperlink"/>
                </w:rPr>
                <w:t>(2012)</w:t>
              </w:r>
            </w:hyperlink>
          </w:p>
          <w:p w14:paraId="0406DE39" w14:textId="55CD19E1" w:rsidR="00527E3F" w:rsidRDefault="00000000" w:rsidP="00026009">
            <w:hyperlink r:id="rId125" w:history="1">
              <w:r w:rsidR="00527E3F" w:rsidRPr="00526B84">
                <w:rPr>
                  <w:rStyle w:val="Hyperlink"/>
                  <w:b/>
                  <w:bCs/>
                </w:rPr>
                <w:t xml:space="preserve">NAP </w:t>
              </w:r>
              <w:r w:rsidR="00526B84" w:rsidRPr="00526B84">
                <w:rPr>
                  <w:rStyle w:val="Hyperlink"/>
                  <w:b/>
                  <w:bCs/>
                </w:rPr>
                <w:t xml:space="preserve">2014-2017 </w:t>
              </w:r>
              <w:r w:rsidR="00527E3F" w:rsidRPr="00526B84">
                <w:rPr>
                  <w:rStyle w:val="Hyperlink"/>
                </w:rPr>
                <w:t>(2014)</w:t>
              </w:r>
            </w:hyperlink>
          </w:p>
          <w:p w14:paraId="040E68C8" w14:textId="6F557F25" w:rsidR="00527E3F" w:rsidRDefault="00000000" w:rsidP="00526B84">
            <w:hyperlink r:id="rId126" w:history="1">
              <w:r w:rsidR="00527E3F" w:rsidRPr="00526B84">
                <w:rPr>
                  <w:rStyle w:val="Hyperlink"/>
                  <w:b/>
                  <w:bCs/>
                </w:rPr>
                <w:t xml:space="preserve">NAP </w:t>
              </w:r>
              <w:r w:rsidR="00526B84" w:rsidRPr="00526B84">
                <w:rPr>
                  <w:rStyle w:val="Hyperlink"/>
                  <w:b/>
                  <w:bCs/>
                </w:rPr>
                <w:t>2018-2022</w:t>
              </w:r>
              <w:r w:rsidR="00527E3F" w:rsidRPr="00526B84">
                <w:rPr>
                  <w:rStyle w:val="Hyperlink"/>
                </w:rPr>
                <w:t>(2018)</w:t>
              </w:r>
            </w:hyperlink>
          </w:p>
          <w:p w14:paraId="6184D6D7" w14:textId="06BA67BF" w:rsidR="009A00AF" w:rsidRPr="00527E3F" w:rsidRDefault="009A00AF" w:rsidP="009A00AF">
            <w:r>
              <w:t>Some precise goals: “</w:t>
            </w:r>
            <w:r w:rsidRPr="009A00AF">
              <w:t>Percentage of UNHCR refugee and IDP operations with at least 35% women’s participation in leadership and management structures</w:t>
            </w:r>
            <w:r>
              <w:t>.”</w:t>
            </w:r>
            <w:r>
              <w:rPr>
                <w:rStyle w:val="FootnoteReference"/>
              </w:rPr>
              <w:footnoteReference w:id="319"/>
            </w:r>
          </w:p>
        </w:tc>
      </w:tr>
      <w:tr w:rsidR="00CB5BD0" w:rsidRPr="00662CBC" w14:paraId="725F2CD8" w14:textId="77777777" w:rsidTr="00F37D6B">
        <w:tc>
          <w:tcPr>
            <w:tcW w:w="139" w:type="pct"/>
            <w:shd w:val="clear" w:color="auto" w:fill="auto"/>
          </w:tcPr>
          <w:p w14:paraId="7D179244" w14:textId="77777777" w:rsidR="004116DF" w:rsidRPr="00662CBC" w:rsidRDefault="004116DF"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0C5335F7" w14:textId="77777777" w:rsidR="004116DF" w:rsidRPr="00662CBC" w:rsidRDefault="004116DF" w:rsidP="006064D6">
            <w:pPr>
              <w:pStyle w:val="Heading3"/>
            </w:pPr>
            <w:bookmarkStart w:id="54" w:name="_Toc132806737"/>
            <w:r w:rsidRPr="00662CBC">
              <w:t>European Union</w:t>
            </w:r>
            <w:bookmarkEnd w:id="54"/>
          </w:p>
          <w:p w14:paraId="6F49F090" w14:textId="77777777" w:rsidR="004116DF" w:rsidRPr="00662CBC" w:rsidRDefault="004116DF" w:rsidP="006064D6">
            <w:pPr>
              <w:rPr>
                <w:b/>
                <w:bCs/>
                <w:szCs w:val="20"/>
              </w:rPr>
            </w:pPr>
          </w:p>
          <w:p w14:paraId="029EA81F" w14:textId="77777777" w:rsidR="004116DF" w:rsidRPr="00662CBC" w:rsidRDefault="004116DF" w:rsidP="006064D6">
            <w:pPr>
              <w:rPr>
                <w:b/>
                <w:bCs/>
                <w:szCs w:val="20"/>
              </w:rPr>
            </w:pPr>
          </w:p>
          <w:p w14:paraId="1BA45EA4" w14:textId="77777777" w:rsidR="004116DF" w:rsidRPr="00662CBC" w:rsidRDefault="004116DF" w:rsidP="006064D6">
            <w:pPr>
              <w:rPr>
                <w:b/>
                <w:bCs/>
                <w:szCs w:val="20"/>
              </w:rPr>
            </w:pPr>
          </w:p>
        </w:tc>
        <w:tc>
          <w:tcPr>
            <w:tcW w:w="855" w:type="pct"/>
            <w:shd w:val="clear" w:color="auto" w:fill="auto"/>
          </w:tcPr>
          <w:p w14:paraId="2DE73C6C" w14:textId="21CE693C" w:rsidR="004116DF" w:rsidRPr="00662CBC" w:rsidRDefault="004116DF" w:rsidP="002A093C">
            <w:pPr>
              <w:rPr>
                <w:b/>
                <w:bCs/>
              </w:rPr>
            </w:pPr>
            <w:r w:rsidRPr="00662CBC">
              <w:rPr>
                <w:b/>
                <w:bCs/>
              </w:rPr>
              <w:t>NDC 2021-2030</w:t>
            </w:r>
            <w:r w:rsidRPr="00662CBC">
              <w:t xml:space="preserve"> submitted by European Commission and Germany on behalf of the EU and the 27 MS (2020): “gender-responsive” implementation</w:t>
            </w:r>
            <w:r w:rsidRPr="005D2F5A">
              <w:rPr>
                <w:rStyle w:val="FootnoteReference"/>
              </w:rPr>
              <w:footnoteReference w:id="320"/>
            </w:r>
          </w:p>
        </w:tc>
        <w:tc>
          <w:tcPr>
            <w:tcW w:w="1023" w:type="pct"/>
            <w:shd w:val="clear" w:color="auto" w:fill="auto"/>
          </w:tcPr>
          <w:p w14:paraId="124F28DA" w14:textId="77777777" w:rsidR="004116DF" w:rsidRDefault="0045145F" w:rsidP="000603D8">
            <w:pPr>
              <w:rPr>
                <w:b/>
                <w:bCs/>
              </w:rPr>
            </w:pPr>
            <w:r w:rsidRPr="0045145F">
              <w:rPr>
                <w:b/>
                <w:bCs/>
              </w:rPr>
              <w:t>No legislated quota</w:t>
            </w:r>
          </w:p>
          <w:p w14:paraId="77C2ED97" w14:textId="77777777" w:rsidR="002D3865" w:rsidRDefault="002D3865" w:rsidP="002D3865">
            <w:r>
              <w:rPr>
                <w:b/>
                <w:bCs/>
              </w:rPr>
              <w:t xml:space="preserve">Note: </w:t>
            </w:r>
            <w:r>
              <w:t xml:space="preserve">Ambassadors “apply” to the European External Action </w:t>
            </w:r>
            <w:proofErr w:type="gramStart"/>
            <w:r>
              <w:t>Service;</w:t>
            </w:r>
            <w:proofErr w:type="gramEnd"/>
          </w:p>
          <w:p w14:paraId="339F8C55" w14:textId="56B0B01F" w:rsidR="002D3865" w:rsidRPr="002D3865" w:rsidRDefault="002D3865" w:rsidP="002D3865">
            <w:r>
              <w:t>“</w:t>
            </w:r>
            <w:r w:rsidRPr="002D3865">
              <w:t xml:space="preserve">Furthermore, organizational processes have proven to vary widely across services, influencing ambassador selections. Notably, the EEAS is the only foreign service in this study in which candidates carry the burden to apply for an ambassadorship (as opposed to being ‘tapped,’ like in the U.S. and German foreign services). Broadly speaking, after a call for applications, candidates for an EU ambassadorship are screened on objective criteria (like management experience or prior experience in an embassy abroad), and, once short-listed </w:t>
            </w:r>
            <w:r w:rsidRPr="002D3865">
              <w:lastRenderedPageBreak/>
              <w:t>by a selection committee composed of EEAS, Commission, Council representatives, and Member State diplomats, are passed on to the Office of the High Representative; at this point, all candidates are equally qualified, and criteria like gender and nationality come into play. Commenting on this process, David O’Sullivan assured: “It really depends on who applies. I was the only one to apply to my current posting, and, to my knowledge, the only candidates applying for the positions in Japan and China</w:t>
            </w:r>
            <w:r w:rsidR="00784148">
              <w:t xml:space="preserve"> </w:t>
            </w:r>
            <w:r w:rsidR="00784148" w:rsidRPr="00784148">
              <w:t xml:space="preserve">were men.” Marie-Anne </w:t>
            </w:r>
            <w:proofErr w:type="spellStart"/>
            <w:r w:rsidR="00784148" w:rsidRPr="00784148">
              <w:t>Coninsx</w:t>
            </w:r>
            <w:proofErr w:type="spellEnd"/>
            <w:r w:rsidR="00784148" w:rsidRPr="00784148">
              <w:t xml:space="preserve"> stressed that women must throw their hats into the ring: “When no women apply, how can there by more female ambassadors?”</w:t>
            </w:r>
            <w:r>
              <w:rPr>
                <w:rStyle w:val="FootnoteReference"/>
              </w:rPr>
              <w:footnoteReference w:id="321"/>
            </w:r>
            <w:r w:rsidR="00784148">
              <w:t xml:space="preserve"> </w:t>
            </w:r>
          </w:p>
        </w:tc>
        <w:tc>
          <w:tcPr>
            <w:tcW w:w="903" w:type="pct"/>
            <w:shd w:val="clear" w:color="auto" w:fill="auto"/>
          </w:tcPr>
          <w:p w14:paraId="0AD779EA" w14:textId="4793DA37" w:rsidR="004116DF" w:rsidRPr="00662CBC" w:rsidRDefault="004116DF" w:rsidP="00CB1725">
            <w:r w:rsidRPr="00662CBC">
              <w:lastRenderedPageBreak/>
              <w:t>—</w:t>
            </w:r>
          </w:p>
        </w:tc>
        <w:tc>
          <w:tcPr>
            <w:tcW w:w="949" w:type="pct"/>
            <w:shd w:val="clear" w:color="auto" w:fill="auto"/>
          </w:tcPr>
          <w:p w14:paraId="7ACDD5C1" w14:textId="075533DD" w:rsidR="004116DF" w:rsidRPr="00662CBC" w:rsidRDefault="004116DF" w:rsidP="00CB1725">
            <w:r w:rsidRPr="00662CBC">
              <w:t>—</w:t>
            </w:r>
          </w:p>
        </w:tc>
        <w:tc>
          <w:tcPr>
            <w:tcW w:w="677" w:type="pct"/>
            <w:shd w:val="clear" w:color="auto" w:fill="auto"/>
          </w:tcPr>
          <w:p w14:paraId="41E525B1" w14:textId="77777777" w:rsidR="004116DF" w:rsidRDefault="00000000" w:rsidP="006A6897">
            <w:hyperlink r:id="rId127" w:history="1">
              <w:r w:rsidR="006A6897" w:rsidRPr="005B7586">
                <w:rPr>
                  <w:rStyle w:val="Hyperlink"/>
                  <w:b/>
                  <w:bCs/>
                </w:rPr>
                <w:t>NAP</w:t>
              </w:r>
              <w:r w:rsidR="00A02CBA" w:rsidRPr="005B7586">
                <w:rPr>
                  <w:rStyle w:val="Hyperlink"/>
                  <w:b/>
                  <w:bCs/>
                </w:rPr>
                <w:t xml:space="preserve"> 201</w:t>
              </w:r>
              <w:r w:rsidR="005B7586" w:rsidRPr="005B7586">
                <w:rPr>
                  <w:rStyle w:val="Hyperlink"/>
                  <w:b/>
                  <w:bCs/>
                </w:rPr>
                <w:t>9-2024</w:t>
              </w:r>
            </w:hyperlink>
            <w:r w:rsidR="000603D8" w:rsidRPr="000603D8">
              <w:t>:</w:t>
            </w:r>
          </w:p>
          <w:p w14:paraId="6F844505" w14:textId="426A90D4" w:rsidR="004379BA" w:rsidRDefault="004379BA" w:rsidP="004379BA">
            <w:pPr>
              <w:pStyle w:val="ListParagraph"/>
              <w:numPr>
                <w:ilvl w:val="0"/>
                <w:numId w:val="21"/>
              </w:numPr>
            </w:pPr>
            <w:r>
              <w:t xml:space="preserve">No clear objectives, only notes </w:t>
            </w:r>
          </w:p>
          <w:p w14:paraId="591798A8" w14:textId="1BF0531F" w:rsidR="004379BA" w:rsidRDefault="004379BA" w:rsidP="004379BA">
            <w:r>
              <w:t>“</w:t>
            </w:r>
            <w:r w:rsidRPr="004379BA">
              <w:t xml:space="preserve">Support and conduct capacity-building and mentoring for women’s leadership, for women negotiators and mediators to improve their effectiveness and the quality of their participation in peace processes and work towards reaching the minimum of 33% women participating in all EU activities and projects </w:t>
            </w:r>
            <w:r w:rsidRPr="004379BA">
              <w:lastRenderedPageBreak/>
              <w:t>related to peace processes.</w:t>
            </w:r>
            <w:r>
              <w:t>”</w:t>
            </w:r>
          </w:p>
          <w:p w14:paraId="076CC21B" w14:textId="2C01312A" w:rsidR="000603D8" w:rsidRPr="006A6897" w:rsidRDefault="000603D8" w:rsidP="006A6897">
            <w:pPr>
              <w:rPr>
                <w:b/>
                <w:bCs/>
              </w:rPr>
            </w:pPr>
          </w:p>
        </w:tc>
      </w:tr>
      <w:tr w:rsidR="00B8595E" w:rsidRPr="00662CBC" w14:paraId="0E12FAB3" w14:textId="77777777" w:rsidTr="00F37D6B">
        <w:tc>
          <w:tcPr>
            <w:tcW w:w="139" w:type="pct"/>
            <w:shd w:val="clear" w:color="auto" w:fill="auto"/>
          </w:tcPr>
          <w:p w14:paraId="3029B32F" w14:textId="77777777" w:rsidR="00B8595E" w:rsidRPr="00662CBC" w:rsidRDefault="00B8595E" w:rsidP="006064D6">
            <w:pPr>
              <w:pStyle w:val="ListParagraph"/>
              <w:numPr>
                <w:ilvl w:val="0"/>
                <w:numId w:val="5"/>
              </w:numPr>
              <w:spacing w:after="0" w:line="240" w:lineRule="auto"/>
              <w:ind w:left="306" w:right="-475" w:hanging="306"/>
              <w:jc w:val="left"/>
              <w:rPr>
                <w:szCs w:val="20"/>
              </w:rPr>
            </w:pPr>
          </w:p>
        </w:tc>
        <w:tc>
          <w:tcPr>
            <w:tcW w:w="454" w:type="pct"/>
            <w:shd w:val="clear" w:color="auto" w:fill="auto"/>
          </w:tcPr>
          <w:p w14:paraId="4ACBD12A" w14:textId="46B885D2" w:rsidR="00B8595E" w:rsidRPr="00662CBC" w:rsidRDefault="00B8595E" w:rsidP="006064D6">
            <w:pPr>
              <w:pStyle w:val="Heading3"/>
            </w:pPr>
            <w:bookmarkStart w:id="55" w:name="_Toc132806738"/>
            <w:r>
              <w:t>Canada</w:t>
            </w:r>
            <w:bookmarkEnd w:id="55"/>
          </w:p>
        </w:tc>
        <w:tc>
          <w:tcPr>
            <w:tcW w:w="855" w:type="pct"/>
            <w:shd w:val="clear" w:color="auto" w:fill="auto"/>
          </w:tcPr>
          <w:p w14:paraId="08240FDA" w14:textId="46454A92" w:rsidR="00B8595E" w:rsidRPr="00052C9E" w:rsidRDefault="00A62CCD" w:rsidP="002A093C">
            <w:pPr>
              <w:rPr>
                <w:rStyle w:val="CommentReference"/>
              </w:rPr>
            </w:pPr>
            <w:r w:rsidRPr="00662CBC">
              <w:rPr>
                <w:b/>
                <w:bCs/>
              </w:rPr>
              <w:t>NDC 2021-2030</w:t>
            </w:r>
            <w:r w:rsidR="00052C9E">
              <w:rPr>
                <w:b/>
                <w:bCs/>
              </w:rPr>
              <w:t xml:space="preserve"> </w:t>
            </w:r>
            <w:r w:rsidR="00052C9E" w:rsidRPr="00052C9E">
              <w:t>gender-sensitive and identifies women as a vulnerable group</w:t>
            </w:r>
          </w:p>
        </w:tc>
        <w:tc>
          <w:tcPr>
            <w:tcW w:w="1023" w:type="pct"/>
            <w:shd w:val="clear" w:color="auto" w:fill="auto"/>
          </w:tcPr>
          <w:p w14:paraId="6D0630C7" w14:textId="2DB34356" w:rsidR="00593D96" w:rsidRDefault="0058205C" w:rsidP="00C30D16">
            <w:r>
              <w:t>—</w:t>
            </w:r>
          </w:p>
          <w:p w14:paraId="7C4C319C" w14:textId="7B9DBA6F" w:rsidR="00B8595E" w:rsidRDefault="00000000" w:rsidP="00C30D16">
            <w:hyperlink r:id="rId128" w:history="1">
              <w:r w:rsidR="00C30D16" w:rsidRPr="00F02246">
                <w:rPr>
                  <w:rStyle w:val="Hyperlink"/>
                </w:rPr>
                <w:t>Employment Equity Act ( S.C. 1995, c. 44)</w:t>
              </w:r>
            </w:hyperlink>
            <w:r w:rsidR="0063488C">
              <w:t xml:space="preserve">: this acts applies to </w:t>
            </w:r>
            <w:r w:rsidR="00C26350" w:rsidRPr="00C26350">
              <w:t xml:space="preserve">portions of the federal public administration; public sector employing one hundred or more employees, including the Canadian Forces and the Royal Canadian Mounted Police, as may be specified by order of the Governor in Council on the recommendation of </w:t>
            </w:r>
            <w:r w:rsidR="00C26350" w:rsidRPr="00C26350">
              <w:lastRenderedPageBreak/>
              <w:t>the Treasury Board, in consultation with the minister responsible for the specified portion</w:t>
            </w:r>
          </w:p>
          <w:p w14:paraId="3E1F5630" w14:textId="77777777" w:rsidR="00F02246" w:rsidRDefault="00F02246" w:rsidP="00C30D16">
            <w:r w:rsidRPr="00F02246">
              <w:t>"The purpose of this Act is to achieve equality in the workplace so that no person shall be denied employment opportunities or benefits for reasons unrelated to ability and, in the fulfilment of that goal, to correct the conditions of disadvantage in employment experienced by women, Aboriginal peoples, persons with disabilities and members of visible minorities by giving effect to the principle that employment equity means more than treating persons in the same way but also requires special measures and the accommodation of differences."</w:t>
            </w:r>
          </w:p>
          <w:p w14:paraId="7D7341F6" w14:textId="77777777" w:rsidR="00E81CC7" w:rsidRDefault="00E81CC7" w:rsidP="00C30D16"/>
          <w:p w14:paraId="0D5F4E04" w14:textId="77777777" w:rsidR="00E81CC7" w:rsidRDefault="00E81CC7" w:rsidP="00C30D16">
            <w:r>
              <w:rPr>
                <w:b/>
                <w:bCs/>
              </w:rPr>
              <w:t>Note</w:t>
            </w:r>
            <w:r>
              <w:t xml:space="preserve">: appointments are regulated by the </w:t>
            </w:r>
            <w:r w:rsidRPr="00E81CC7">
              <w:t>Public Service Employment Act</w:t>
            </w:r>
            <w:r>
              <w:t>. This act does not apply to the Canadian Armed Forces.</w:t>
            </w:r>
            <w:r w:rsidR="00AC397A">
              <w:rPr>
                <w:rStyle w:val="FootnoteReference"/>
              </w:rPr>
              <w:t xml:space="preserve"> </w:t>
            </w:r>
            <w:r w:rsidR="00AC397A">
              <w:rPr>
                <w:rStyle w:val="FootnoteReference"/>
              </w:rPr>
              <w:footnoteReference w:id="322"/>
            </w:r>
          </w:p>
          <w:p w14:paraId="76417B6F" w14:textId="77777777" w:rsidR="004A4172" w:rsidRDefault="004A4172" w:rsidP="00C30D16"/>
          <w:p w14:paraId="3AA318FB" w14:textId="77777777" w:rsidR="004A4172" w:rsidRDefault="004A4172" w:rsidP="00C30D16">
            <w:r w:rsidRPr="004A4172">
              <w:rPr>
                <w:b/>
                <w:bCs/>
              </w:rPr>
              <w:lastRenderedPageBreak/>
              <w:t>Note</w:t>
            </w:r>
            <w:r>
              <w:rPr>
                <w:b/>
                <w:bCs/>
              </w:rPr>
              <w:t xml:space="preserve"> 2</w:t>
            </w:r>
            <w:r>
              <w:t xml:space="preserve">: the number of women being appointed </w:t>
            </w:r>
            <w:r w:rsidR="00D705CD">
              <w:t>as Heads of Mission is growing.</w:t>
            </w:r>
            <w:r w:rsidR="00D705CD">
              <w:rPr>
                <w:rStyle w:val="FootnoteReference"/>
              </w:rPr>
              <w:footnoteReference w:id="323"/>
            </w:r>
          </w:p>
          <w:p w14:paraId="562E9B34" w14:textId="77777777" w:rsidR="009F5C39" w:rsidRDefault="009F5C39" w:rsidP="00C30D16"/>
          <w:p w14:paraId="6A80DEA2" w14:textId="7C73EDBF" w:rsidR="009F5C39" w:rsidRPr="009F5C39" w:rsidRDefault="009F5C39" w:rsidP="009F5C39">
            <w:r>
              <w:rPr>
                <w:b/>
                <w:bCs/>
              </w:rPr>
              <w:t xml:space="preserve">Note 3: </w:t>
            </w:r>
            <w:r>
              <w:t xml:space="preserve">The country pursues a </w:t>
            </w:r>
            <w:r>
              <w:rPr>
                <w:b/>
                <w:bCs/>
              </w:rPr>
              <w:t>Feminist Foreign Policy</w:t>
            </w:r>
            <w:r w:rsidRPr="009F5C39">
              <w:t xml:space="preserve">. </w:t>
            </w:r>
            <w:r>
              <w:t xml:space="preserve">The understanding </w:t>
            </w:r>
            <w:r w:rsidR="00E218EE">
              <w:t>encompasses the “</w:t>
            </w:r>
            <w:r w:rsidR="00E218EE" w:rsidRPr="00E218EE">
              <w:t>support</w:t>
            </w:r>
            <w:r w:rsidR="00E218EE">
              <w:t xml:space="preserve"> [of]</w:t>
            </w:r>
            <w:r w:rsidR="00E218EE" w:rsidRPr="00E218EE">
              <w:t xml:space="preserve"> a broad and inclusive representation of women, Indigenous Peoples, and other marginalized groups in international environment-related negotiations to develop strong, diverse, inclusive partnerships and solutions.</w:t>
            </w:r>
          </w:p>
        </w:tc>
        <w:tc>
          <w:tcPr>
            <w:tcW w:w="903" w:type="pct"/>
            <w:shd w:val="clear" w:color="auto" w:fill="auto"/>
          </w:tcPr>
          <w:p w14:paraId="45C4A843" w14:textId="2FA1E7E1" w:rsidR="005F0E06" w:rsidRDefault="0058205C" w:rsidP="0058205C">
            <w:r>
              <w:rPr>
                <w:b/>
                <w:bCs/>
              </w:rPr>
              <w:lastRenderedPageBreak/>
              <w:t>—</w:t>
            </w:r>
          </w:p>
          <w:p w14:paraId="579D07DC" w14:textId="77777777" w:rsidR="005F0E06" w:rsidRDefault="005F0E06" w:rsidP="00CB1725">
            <w:r>
              <w:rPr>
                <w:b/>
                <w:bCs/>
              </w:rPr>
              <w:t>Intersectionality</w:t>
            </w:r>
            <w:r>
              <w:t xml:space="preserve">: </w:t>
            </w:r>
          </w:p>
          <w:p w14:paraId="6CE9CEC8" w14:textId="6E6D7976" w:rsidR="005F0E06" w:rsidRPr="005F0E06" w:rsidRDefault="005F0E06" w:rsidP="00CB1725">
            <w:r>
              <w:t>“</w:t>
            </w:r>
            <w:r w:rsidRPr="005F0E06">
              <w:t>CAF does not have the same recruitment requirements for persons with disabilities.</w:t>
            </w:r>
            <w:r>
              <w:t>”</w:t>
            </w:r>
            <w:r>
              <w:rPr>
                <w:rStyle w:val="FootnoteReference"/>
              </w:rPr>
              <w:footnoteReference w:id="324"/>
            </w:r>
          </w:p>
        </w:tc>
        <w:tc>
          <w:tcPr>
            <w:tcW w:w="949" w:type="pct"/>
            <w:shd w:val="clear" w:color="auto" w:fill="auto"/>
          </w:tcPr>
          <w:p w14:paraId="20D29BA2" w14:textId="6DA81BC9" w:rsidR="00E35222" w:rsidRPr="00E35222" w:rsidRDefault="00E35222" w:rsidP="00584F9A">
            <w:pPr>
              <w:rPr>
                <w:b/>
                <w:bCs/>
              </w:rPr>
            </w:pPr>
            <w:r w:rsidRPr="00E35222">
              <w:rPr>
                <w:b/>
                <w:bCs/>
              </w:rPr>
              <w:t>No mandator</w:t>
            </w:r>
            <w:r>
              <w:rPr>
                <w:b/>
                <w:bCs/>
              </w:rPr>
              <w:t>y military service</w:t>
            </w:r>
            <w:r w:rsidR="00616119">
              <w:rPr>
                <w:b/>
                <w:bCs/>
              </w:rPr>
              <w:t>.</w:t>
            </w:r>
          </w:p>
          <w:p w14:paraId="570AADAA" w14:textId="1E46E52C" w:rsidR="00584F9A" w:rsidRDefault="00584F9A" w:rsidP="00584F9A">
            <w:r>
              <w:t xml:space="preserve">“17 years of age for voluntary male and female military service (with parental consent); 16 years of age for Reserve and Military College applicants; Canadian citizenship or permanent residence status required; maximum 34 </w:t>
            </w:r>
            <w:r>
              <w:lastRenderedPageBreak/>
              <w:t>years of age; service obligation 3-9 years (2022)</w:t>
            </w:r>
          </w:p>
          <w:p w14:paraId="738E25FC" w14:textId="77777777" w:rsidR="00584F9A" w:rsidRDefault="00584F9A" w:rsidP="00584F9A">
            <w:r w:rsidRPr="00584F9A">
              <w:rPr>
                <w:b/>
                <w:bCs/>
              </w:rPr>
              <w:t>note 1:</w:t>
            </w:r>
            <w:r>
              <w:t xml:space="preserve"> Canada opened up all military occupations to women in 2001; in 2020, women comprised about 16% of the CAF</w:t>
            </w:r>
          </w:p>
          <w:p w14:paraId="58B8EFA7" w14:textId="72C580B8" w:rsidR="00D9353C" w:rsidRDefault="00584F9A" w:rsidP="00584F9A">
            <w:r w:rsidRPr="00584F9A">
              <w:rPr>
                <w:b/>
                <w:bCs/>
              </w:rPr>
              <w:t>note 2</w:t>
            </w:r>
            <w:r>
              <w:t>: the CAF offers waivers to foreign nationals applying for military service only in exceptional cases — to individuals on international military exchanges, for example, or to candidates who have specialized skills in high demand.”</w:t>
            </w:r>
            <w:r w:rsidRPr="005D2F5A">
              <w:rPr>
                <w:rStyle w:val="FootnoteReference"/>
              </w:rPr>
              <w:footnoteReference w:id="325"/>
            </w:r>
          </w:p>
          <w:p w14:paraId="4B9D7605" w14:textId="7CE9B33E" w:rsidR="00584F9A" w:rsidRPr="00E35222" w:rsidRDefault="00167BFE" w:rsidP="00584F9A">
            <w:pPr>
              <w:rPr>
                <w:b/>
                <w:bCs/>
              </w:rPr>
            </w:pPr>
            <w:r>
              <w:rPr>
                <w:b/>
                <w:bCs/>
              </w:rPr>
              <w:t xml:space="preserve">Note 1: Current </w:t>
            </w:r>
            <w:r w:rsidR="00E35222">
              <w:rPr>
                <w:b/>
                <w:bCs/>
              </w:rPr>
              <w:t>Numbers</w:t>
            </w:r>
            <w:r>
              <w:rPr>
                <w:b/>
                <w:bCs/>
              </w:rPr>
              <w:t xml:space="preserve"> according to the NAP II</w:t>
            </w:r>
            <w:r w:rsidR="0020370D">
              <w:rPr>
                <w:b/>
                <w:bCs/>
              </w:rPr>
              <w:t xml:space="preserve"> and </w:t>
            </w:r>
            <w:r w:rsidR="00A71715">
              <w:rPr>
                <w:b/>
                <w:bCs/>
              </w:rPr>
              <w:t>Progress reports:</w:t>
            </w:r>
          </w:p>
          <w:p w14:paraId="1A03BDE6" w14:textId="77777777" w:rsidR="00D9353C" w:rsidRDefault="00D9353C" w:rsidP="00CB1725">
            <w:r>
              <w:t>“</w:t>
            </w:r>
            <w:r w:rsidRPr="00D9353C">
              <w:t xml:space="preserve">Women accounted for 24% of Canadian police deployed to peace operations in 2015-2016, exceeding the UN goal of 20%. Meanwhile, women accounted for 13.5% of the Canadian Armed Forces personnel deployed to UN and NATO operations. The Chief of the </w:t>
            </w:r>
            <w:proofErr w:type="spellStart"/>
            <w:r w:rsidRPr="00D9353C">
              <w:t>Defence</w:t>
            </w:r>
            <w:proofErr w:type="spellEnd"/>
            <w:r w:rsidRPr="00D9353C">
              <w:t xml:space="preserve"> Staff set a target of increasing the number of women in the Canadian military from 15% </w:t>
            </w:r>
            <w:r w:rsidRPr="00D9353C">
              <w:lastRenderedPageBreak/>
              <w:t>to 25%, which will make more women available for deployment to international peace operations.</w:t>
            </w:r>
            <w:r>
              <w:t>”</w:t>
            </w:r>
            <w:r>
              <w:rPr>
                <w:rStyle w:val="FootnoteReference"/>
              </w:rPr>
              <w:footnoteReference w:id="326"/>
            </w:r>
          </w:p>
          <w:p w14:paraId="28D9C232" w14:textId="77777777" w:rsidR="00A71715" w:rsidRPr="00E5243F" w:rsidRDefault="00A71715" w:rsidP="00A71715">
            <w:pPr>
              <w:spacing w:after="0"/>
            </w:pPr>
            <w:r>
              <w:t>“</w:t>
            </w:r>
            <w:r w:rsidRPr="00E5243F">
              <w:t>Fourteen Canadian women were appointed to a command position on mission in 2019-2020, including the first woman to command the NATO Maritime Group 2 (SNMG2), and the first CAF woman Major General taking command of the NATO Mission in Iraq. Other missions commanded by Canadian women include: OP REASSURANCE, OP PROJECTION, OP PRESENCE and TG PRISTINA (OP KOBOLD). Overall, 13.7% (290 out of 2133 total personnel) of Canada’s expeditionary missions are composed of women. For UN mission, in total, 143 women out of 980 CAF personnel (14.59%) were deployed in 2019-2020: 75 Non-Commissioned Members (NMC), 40 Officers, and 19 Senior Officers.</w:t>
            </w:r>
            <w:r>
              <w:t>”</w:t>
            </w:r>
            <w:r w:rsidRPr="00E5243F">
              <w:rPr>
                <w:rStyle w:val="FootnoteReference"/>
              </w:rPr>
              <w:t xml:space="preserve"> </w:t>
            </w:r>
            <w:r>
              <w:rPr>
                <w:rStyle w:val="FootnoteReference"/>
              </w:rPr>
              <w:footnoteReference w:id="327"/>
            </w:r>
          </w:p>
          <w:p w14:paraId="4B17F015" w14:textId="77777777" w:rsidR="00B063BA" w:rsidRDefault="00B063BA" w:rsidP="00B063BA">
            <w:pPr>
              <w:rPr>
                <w:b/>
                <w:bCs/>
              </w:rPr>
            </w:pPr>
            <w:r>
              <w:rPr>
                <w:b/>
                <w:bCs/>
              </w:rPr>
              <w:t>Note 2</w:t>
            </w:r>
            <w:r w:rsidRPr="00C50216">
              <w:t xml:space="preserve">: </w:t>
            </w:r>
            <w:r>
              <w:rPr>
                <w:b/>
                <w:bCs/>
              </w:rPr>
              <w:t>Suitable military equipment/uniforms for both sexes.</w:t>
            </w:r>
          </w:p>
          <w:p w14:paraId="7062360F" w14:textId="77777777" w:rsidR="00B063BA" w:rsidRPr="00E5243F" w:rsidRDefault="00B063BA" w:rsidP="00B063BA">
            <w:r>
              <w:lastRenderedPageBreak/>
              <w:t>“</w:t>
            </w:r>
            <w:r w:rsidRPr="00E5243F">
              <w:t>Military equipment and uniforms are adapted for both men and women. The procurement of new CAF capabilities considers both women and men in the design, selection, testing and validation phases of the project.</w:t>
            </w:r>
            <w:r>
              <w:t>”</w:t>
            </w:r>
            <w:r>
              <w:rPr>
                <w:rStyle w:val="FootnoteReference"/>
              </w:rPr>
              <w:footnoteReference w:id="328"/>
            </w:r>
          </w:p>
          <w:p w14:paraId="60AEB801" w14:textId="59D54203" w:rsidR="00167BFE" w:rsidRPr="00662CBC" w:rsidRDefault="00167BFE" w:rsidP="00CB1725"/>
        </w:tc>
        <w:tc>
          <w:tcPr>
            <w:tcW w:w="677" w:type="pct"/>
            <w:shd w:val="clear" w:color="auto" w:fill="auto"/>
          </w:tcPr>
          <w:p w14:paraId="79EDD398" w14:textId="66EFD294" w:rsidR="00B8595E" w:rsidRPr="00B8595E" w:rsidRDefault="00000000" w:rsidP="006A6897">
            <w:hyperlink r:id="rId129" w:history="1">
              <w:r w:rsidR="00B8595E" w:rsidRPr="00B8595E">
                <w:rPr>
                  <w:rStyle w:val="Hyperlink"/>
                  <w:b/>
                  <w:bCs/>
                </w:rPr>
                <w:t xml:space="preserve">NAP 2010-2016 </w:t>
              </w:r>
              <w:r w:rsidR="00B8595E" w:rsidRPr="00B8595E">
                <w:rPr>
                  <w:rStyle w:val="Hyperlink"/>
                </w:rPr>
                <w:t>(2010)</w:t>
              </w:r>
            </w:hyperlink>
          </w:p>
          <w:p w14:paraId="194E521D" w14:textId="6C2D86CE" w:rsidR="002B019D" w:rsidRDefault="00000000" w:rsidP="002B019D">
            <w:pPr>
              <w:rPr>
                <w:b/>
                <w:bCs/>
              </w:rPr>
            </w:pPr>
            <w:hyperlink r:id="rId130" w:history="1">
              <w:r w:rsidR="00B8595E" w:rsidRPr="002B019D">
                <w:rPr>
                  <w:rStyle w:val="Hyperlink"/>
                  <w:b/>
                  <w:bCs/>
                </w:rPr>
                <w:t>NAP</w:t>
              </w:r>
              <w:r w:rsidR="00503E01" w:rsidRPr="002B019D">
                <w:rPr>
                  <w:rStyle w:val="Hyperlink"/>
                  <w:b/>
                  <w:bCs/>
                </w:rPr>
                <w:t xml:space="preserve"> 2017-2022</w:t>
              </w:r>
              <w:r w:rsidR="00B8595E" w:rsidRPr="002B019D">
                <w:rPr>
                  <w:rStyle w:val="Hyperlink"/>
                  <w:b/>
                  <w:bCs/>
                </w:rPr>
                <w:t xml:space="preserve"> </w:t>
              </w:r>
              <w:r w:rsidR="00B8595E" w:rsidRPr="002B019D">
                <w:rPr>
                  <w:rStyle w:val="Hyperlink"/>
                </w:rPr>
                <w:t>(2017)</w:t>
              </w:r>
            </w:hyperlink>
          </w:p>
          <w:p w14:paraId="46F64808" w14:textId="147146FE" w:rsidR="002B019D" w:rsidRPr="002B019D" w:rsidRDefault="002B019D" w:rsidP="002B019D">
            <w:r w:rsidRPr="002B019D">
              <w:t xml:space="preserve">No </w:t>
            </w:r>
            <w:r w:rsidR="00E34C65">
              <w:t>precise</w:t>
            </w:r>
            <w:r w:rsidRPr="002B019D">
              <w:t xml:space="preserve"> </w:t>
            </w:r>
            <w:r>
              <w:t>goals</w:t>
            </w:r>
          </w:p>
          <w:p w14:paraId="29D5E731" w14:textId="3B7D8F18" w:rsidR="00B8595E" w:rsidRPr="006A6897" w:rsidRDefault="00B8595E" w:rsidP="006A6897">
            <w:pPr>
              <w:rPr>
                <w:b/>
                <w:bCs/>
              </w:rPr>
            </w:pPr>
          </w:p>
        </w:tc>
      </w:tr>
    </w:tbl>
    <w:p w14:paraId="3884A0AA" w14:textId="53DB6AF4" w:rsidR="003168F8" w:rsidRPr="00662CBC" w:rsidRDefault="003168F8" w:rsidP="003168F8"/>
    <w:p w14:paraId="5434018E" w14:textId="77777777" w:rsidR="00A7375C" w:rsidRPr="00A7375C" w:rsidRDefault="00A7375C"/>
    <w:sectPr w:rsidR="00A7375C" w:rsidRPr="00A7375C" w:rsidSect="00FD6D1F">
      <w:pgSz w:w="16838" w:h="11906" w:orient="landscape"/>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Fuhrmann, Veronika" w:date="2023-04-17T18:07:00Z" w:initials="MOU">
    <w:p w14:paraId="2743789F" w14:textId="77777777" w:rsidR="00591960" w:rsidRDefault="00591960" w:rsidP="00C85C82">
      <w:pPr>
        <w:jc w:val="left"/>
      </w:pPr>
      <w:r>
        <w:rPr>
          <w:rStyle w:val="CommentReference"/>
        </w:rPr>
        <w:annotationRef/>
      </w:r>
      <w:r>
        <w:rPr>
          <w:color w:val="000000"/>
          <w:szCs w:val="20"/>
        </w:rPr>
        <w:t>Check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4378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094F" w16cex:dateUtc="2023-04-17T1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43789F" w16cid:durableId="27E809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62FBA" w14:textId="77777777" w:rsidR="009843B9" w:rsidRDefault="009843B9" w:rsidP="003168F8">
      <w:pPr>
        <w:spacing w:before="0" w:after="0" w:line="240" w:lineRule="auto"/>
      </w:pPr>
      <w:r>
        <w:separator/>
      </w:r>
    </w:p>
  </w:endnote>
  <w:endnote w:type="continuationSeparator" w:id="0">
    <w:p w14:paraId="25FE7B09" w14:textId="77777777" w:rsidR="009843B9" w:rsidRDefault="009843B9" w:rsidP="003168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T America Extended">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5D21" w14:textId="77777777" w:rsidR="009843B9" w:rsidRDefault="009843B9" w:rsidP="003168F8">
      <w:pPr>
        <w:spacing w:before="0" w:after="0" w:line="240" w:lineRule="auto"/>
      </w:pPr>
      <w:r>
        <w:separator/>
      </w:r>
    </w:p>
  </w:footnote>
  <w:footnote w:type="continuationSeparator" w:id="0">
    <w:p w14:paraId="2BEA9194" w14:textId="77777777" w:rsidR="009843B9" w:rsidRDefault="009843B9" w:rsidP="003168F8">
      <w:pPr>
        <w:spacing w:before="0" w:after="0" w:line="240" w:lineRule="auto"/>
      </w:pPr>
      <w:r>
        <w:continuationSeparator/>
      </w:r>
    </w:p>
  </w:footnote>
  <w:footnote w:id="1">
    <w:p w14:paraId="0525E8B6" w14:textId="6ED1D4F2" w:rsidR="00081B19" w:rsidRDefault="00081B19">
      <w:pPr>
        <w:pStyle w:val="FootnoteText"/>
      </w:pPr>
      <w:r>
        <w:rPr>
          <w:rStyle w:val="FootnoteReference"/>
        </w:rPr>
        <w:footnoteRef/>
      </w:r>
      <w:r>
        <w:t xml:space="preserve"> She thanks her Research Assistant Veronika Fuhrmann</w:t>
      </w:r>
    </w:p>
  </w:footnote>
  <w:footnote w:id="2">
    <w:p w14:paraId="0258AAF1" w14:textId="77777777" w:rsidR="00F40383" w:rsidRPr="002563A1" w:rsidRDefault="00F40383" w:rsidP="00F40383">
      <w:pPr>
        <w:pStyle w:val="FootnoteText"/>
      </w:pPr>
      <w:r>
        <w:rPr>
          <w:rStyle w:val="FootnoteReference"/>
        </w:rPr>
        <w:footnoteRef/>
      </w:r>
      <w:r>
        <w:t xml:space="preserve"> </w:t>
      </w:r>
      <w:r>
        <w:fldChar w:fldCharType="begin"/>
      </w:r>
      <w:r>
        <w:instrText xml:space="preserve"> ADDIN ZOTERO_ITEM CSL_CITATION {"citationID":"3O3u48qM","properties":{"formattedCitation":"{\\scaps Dr. Hannah Neumann, Barbara Mittelhammer &amp; Sofiia Shevchuk}, {\\i{}The #Shecurity Index 2022 \\uc0\\u8211{} Dataset}, (2022), https://shecurity.info/wp-content/uploads/2022/10/SHEcurity_2022_dataset_final.pdf.","plainCitation":"Dr. Hannah Neumann, Barbara Mittelhammer &amp; Sofiia Shevchuk, The #Shecurity Index 2022 – Dataset, (2022), https://shecurity.info/wp-content/uploads/2022/10/SHEcurity_2022_dataset_final.pdf.","noteIndex":2},"citationItems":[{"id":801,"uris":["http://zotero.org/users/10345638/items/7KJPQGBU"],"itemData":{"id":801,"type":"report","collection-title":"SHEcurity","title":"The #Shecurity Index 2022 – Dataset","URL":"https://shecurity.info/wp-content/uploads/2022/10/SHEcurity_2022_dataset_final.pdf","author":[{"family":"Neumann","given":"Dr. Hannah"},{"family":"Mittelhammer","given":"Barbara"},{"family":"Shevchuk","given":"Sofiia"}],"issued":{"date-parts":[["2022"]]}}}],"schema":"https://github.com/citation-style-language/schema/raw/master/csl-citation.json"} </w:instrText>
      </w:r>
      <w:r>
        <w:fldChar w:fldCharType="separate"/>
      </w:r>
      <w:proofErr w:type="spellStart"/>
      <w:r w:rsidRPr="002563A1">
        <w:rPr>
          <w:rFonts w:cs="Times New Roman"/>
          <w:smallCaps/>
          <w:lang w:val="en-GB"/>
        </w:rPr>
        <w:t>Dr.</w:t>
      </w:r>
      <w:proofErr w:type="spellEnd"/>
      <w:r w:rsidRPr="002563A1">
        <w:rPr>
          <w:rFonts w:cs="Times New Roman"/>
          <w:smallCaps/>
          <w:lang w:val="en-GB"/>
        </w:rPr>
        <w:t xml:space="preserve"> Hannah Neumann, Barbara Mittelhammer &amp; Sofiia Shevchuk</w:t>
      </w:r>
      <w:r w:rsidRPr="002563A1">
        <w:rPr>
          <w:rFonts w:cs="Times New Roman"/>
          <w:lang w:val="en-GB"/>
        </w:rPr>
        <w:t xml:space="preserve">, </w:t>
      </w:r>
      <w:r w:rsidRPr="002563A1">
        <w:rPr>
          <w:rFonts w:cs="Times New Roman"/>
          <w:i/>
          <w:iCs/>
          <w:lang w:val="en-GB"/>
        </w:rPr>
        <w:t>The #Shecurity Index 2022 – Dataset</w:t>
      </w:r>
      <w:r w:rsidRPr="002563A1">
        <w:rPr>
          <w:rFonts w:cs="Times New Roman"/>
          <w:lang w:val="en-GB"/>
        </w:rPr>
        <w:t>, (2022), https://shecurity.info/wp-content/uploads/2022/10/SHEcurity_2022_dataset_final.pdf.</w:t>
      </w:r>
      <w:r>
        <w:fldChar w:fldCharType="end"/>
      </w:r>
    </w:p>
  </w:footnote>
  <w:footnote w:id="3">
    <w:p w14:paraId="2ECD701A" w14:textId="77777777" w:rsidR="00D36D47" w:rsidRPr="002563A1" w:rsidRDefault="00D36D47" w:rsidP="00D36D47">
      <w:pPr>
        <w:pStyle w:val="FootnoteText"/>
      </w:pPr>
      <w:r>
        <w:rPr>
          <w:rStyle w:val="FootnoteReference"/>
        </w:rPr>
        <w:footnoteRef/>
      </w:r>
      <w:r>
        <w:t xml:space="preserve"> </w:t>
      </w:r>
      <w:r>
        <w:fldChar w:fldCharType="begin"/>
      </w:r>
      <w:r>
        <w:instrText xml:space="preserve"> ADDIN ZOTERO_ITEM CSL_CITATION {"citationID":"3O3u48qM","properties":{"formattedCitation":"{\\scaps Dr. Hannah Neumann, Barbara Mittelhammer &amp; Sofiia Shevchuk}, {\\i{}The #Shecurity Index 2022 \\uc0\\u8211{} Dataset}, (2022), https://shecurity.info/wp-content/uploads/2022/10/SHEcurity_2022_dataset_final.pdf.","plainCitation":"Dr. Hannah Neumann, Barbara Mittelhammer &amp; Sofiia Shevchuk, The #Shecurity Index 2022 – Dataset, (2022), https://shecurity.info/wp-content/uploads/2022/10/SHEcurity_2022_dataset_final.pdf.","noteIndex":2},"citationItems":[{"id":801,"uris":["http://zotero.org/users/10345638/items/7KJPQGBU"],"itemData":{"id":801,"type":"report","collection-title":"SHEcurity","title":"The #Shecurity Index 2022 – Dataset","URL":"https://shecurity.info/wp-content/uploads/2022/10/SHEcurity_2022_dataset_final.pdf","author":[{"family":"Neumann","given":"Dr. Hannah"},{"family":"Mittelhammer","given":"Barbara"},{"family":"Shevchuk","given":"Sofiia"}],"issued":{"date-parts":[["2022"]]}}}],"schema":"https://github.com/citation-style-language/schema/raw/master/csl-citation.json"} </w:instrText>
      </w:r>
      <w:r>
        <w:fldChar w:fldCharType="separate"/>
      </w:r>
      <w:r w:rsidRPr="002563A1">
        <w:rPr>
          <w:rFonts w:cs="Times New Roman"/>
          <w:smallCaps/>
          <w:lang w:val="en-GB"/>
        </w:rPr>
        <w:t>Dr. Hannah Neumann, Barbara Mittelhammer &amp; Sofiia Shevchuk</w:t>
      </w:r>
      <w:r w:rsidRPr="002563A1">
        <w:rPr>
          <w:rFonts w:cs="Times New Roman"/>
          <w:lang w:val="en-GB"/>
        </w:rPr>
        <w:t xml:space="preserve">, </w:t>
      </w:r>
      <w:r w:rsidRPr="002563A1">
        <w:rPr>
          <w:rFonts w:cs="Times New Roman"/>
          <w:i/>
          <w:iCs/>
          <w:lang w:val="en-GB"/>
        </w:rPr>
        <w:t>The #Shecurity Index 2022 – Dataset</w:t>
      </w:r>
      <w:r w:rsidRPr="002563A1">
        <w:rPr>
          <w:rFonts w:cs="Times New Roman"/>
          <w:lang w:val="en-GB"/>
        </w:rPr>
        <w:t>, (2022), https://shecurity.info/wp-content/uploads/2022/10/SHEcurity_2022_dataset_final.pdf.</w:t>
      </w:r>
      <w:r>
        <w:fldChar w:fldCharType="end"/>
      </w:r>
    </w:p>
  </w:footnote>
  <w:footnote w:id="4">
    <w:p w14:paraId="68EBBE66" w14:textId="5DE6EA17" w:rsidR="0019346A" w:rsidRPr="00010DF7" w:rsidRDefault="0019346A" w:rsidP="003168F8">
      <w:pPr>
        <w:pStyle w:val="FootnoteText"/>
      </w:pPr>
      <w:r w:rsidRPr="00010DF7">
        <w:rPr>
          <w:rStyle w:val="FootnoteReference"/>
        </w:rPr>
        <w:footnoteRef/>
      </w:r>
      <w:r w:rsidR="00FC5273">
        <w:t xml:space="preserve"> T</w:t>
      </w:r>
      <w:r w:rsidRPr="00010DF7">
        <w:t xml:space="preserve">his indicates that there are no legislated quotas but that this assessment could not be </w:t>
      </w:r>
      <w:r w:rsidR="00FC5273" w:rsidRPr="00010DF7">
        <w:t>definitively</w:t>
      </w:r>
      <w:r w:rsidRPr="00010DF7">
        <w:t xml:space="preserve"> confirmed. </w:t>
      </w:r>
    </w:p>
  </w:footnote>
  <w:footnote w:id="5">
    <w:p w14:paraId="36F4503B" w14:textId="77777777" w:rsidR="003168F8" w:rsidRPr="00010DF7" w:rsidRDefault="003168F8" w:rsidP="003168F8">
      <w:pPr>
        <w:pStyle w:val="FootnoteText"/>
      </w:pPr>
      <w:r w:rsidRPr="00010DF7">
        <w:rPr>
          <w:rStyle w:val="FootnoteReference"/>
        </w:rPr>
        <w:footnoteRef/>
      </w:r>
      <w:r w:rsidRPr="00010DF7">
        <w:t xml:space="preserve"> When this list is green, it should include all election quotas for the national, sub-, and (in EU Member States) supranational level. </w:t>
      </w:r>
    </w:p>
  </w:footnote>
  <w:footnote w:id="6">
    <w:p w14:paraId="55B6C6F7" w14:textId="77777777" w:rsidR="003168F8" w:rsidRPr="00010DF7" w:rsidRDefault="003168F8" w:rsidP="003168F8">
      <w:pPr>
        <w:pStyle w:val="FootnoteText"/>
      </w:pPr>
      <w:r w:rsidRPr="00010DF7">
        <w:rPr>
          <w:rStyle w:val="FootnoteReference"/>
        </w:rPr>
        <w:footnoteRef/>
      </w:r>
      <w:r w:rsidRPr="00010DF7">
        <w:t xml:space="preserve"> Limited to supervisory boards.</w:t>
      </w:r>
    </w:p>
  </w:footnote>
  <w:footnote w:id="7">
    <w:p w14:paraId="5FFBE245" w14:textId="77777777" w:rsidR="003168F8" w:rsidRPr="00010DF7" w:rsidRDefault="003168F8" w:rsidP="003168F8">
      <w:pPr>
        <w:pStyle w:val="FootnoteText"/>
      </w:pPr>
      <w:r w:rsidRPr="00010DF7">
        <w:rPr>
          <w:rStyle w:val="FootnoteReference"/>
        </w:rPr>
        <w:footnoteRef/>
      </w:r>
      <w:r w:rsidRPr="00010DF7">
        <w:t xml:space="preserve"> While I could not find information on European elections, it is possible that the law will be amended in the future as the last EP elections took place right before the quota was enacted.</w:t>
      </w:r>
    </w:p>
  </w:footnote>
  <w:footnote w:id="8">
    <w:p w14:paraId="634C03C6" w14:textId="18008403" w:rsidR="004116DF" w:rsidRPr="00010DF7" w:rsidRDefault="004116DF" w:rsidP="00F02AC6">
      <w:pPr>
        <w:pStyle w:val="FootnoteText"/>
      </w:pPr>
      <w:r w:rsidRPr="00010DF7">
        <w:rPr>
          <w:rStyle w:val="FootnoteReference"/>
        </w:rPr>
        <w:footnoteRef/>
      </w:r>
      <w:r w:rsidRPr="00010DF7">
        <w:t xml:space="preserve"> Albania, </w:t>
      </w:r>
      <w:r w:rsidRPr="00010DF7">
        <w:rPr>
          <w:i/>
          <w:iCs/>
        </w:rPr>
        <w:t>Albania Revised NDC</w:t>
      </w:r>
      <w:r w:rsidRPr="00010DF7">
        <w:t xml:space="preserve">, UNFCCC, August 2022, </w:t>
      </w:r>
      <w:hyperlink r:id="rId1" w:history="1">
        <w:r w:rsidRPr="00010DF7">
          <w:rPr>
            <w:rStyle w:val="Hyperlink"/>
          </w:rPr>
          <w:t>https://unfccc.int/sites/default/files/2022-08/Albania%20Revised%20NDC.pdf</w:t>
        </w:r>
      </w:hyperlink>
      <w:r w:rsidRPr="00010DF7">
        <w:t xml:space="preserve">. </w:t>
      </w:r>
    </w:p>
  </w:footnote>
  <w:footnote w:id="9">
    <w:p w14:paraId="14704F09" w14:textId="7AE73301" w:rsidR="004116DF" w:rsidRPr="00010DF7" w:rsidRDefault="004116DF" w:rsidP="00F02AC6">
      <w:pPr>
        <w:pStyle w:val="FootnoteText"/>
      </w:pPr>
      <w:r w:rsidRPr="00010DF7">
        <w:rPr>
          <w:rStyle w:val="FootnoteReference"/>
        </w:rPr>
        <w:footnoteRef/>
      </w:r>
      <w:r w:rsidRPr="00010DF7">
        <w:t xml:space="preserve"> Albania, </w:t>
      </w:r>
      <w:r w:rsidRPr="00010DF7">
        <w:rPr>
          <w:i/>
          <w:iCs/>
        </w:rPr>
        <w:t>Albania Revised NDC</w:t>
      </w:r>
      <w:r w:rsidRPr="00010DF7">
        <w:t xml:space="preserve">, UNFCCC, August 2022, at 63, </w:t>
      </w:r>
      <w:hyperlink r:id="rId2" w:history="1">
        <w:r w:rsidRPr="00010DF7">
          <w:rPr>
            <w:rStyle w:val="Hyperlink"/>
          </w:rPr>
          <w:t>https://unfccc.int/sites/default/files/2022-08/Albania%20Revised%20NDC.pdf</w:t>
        </w:r>
      </w:hyperlink>
      <w:r w:rsidRPr="00010DF7">
        <w:t xml:space="preserve">. </w:t>
      </w:r>
    </w:p>
  </w:footnote>
  <w:footnote w:id="10">
    <w:p w14:paraId="0C010F64" w14:textId="26D2A2E5" w:rsidR="004116DF" w:rsidRPr="00010DF7" w:rsidRDefault="004116DF" w:rsidP="00606637">
      <w:pPr>
        <w:pStyle w:val="FootnoteText"/>
      </w:pPr>
      <w:r w:rsidRPr="00010DF7">
        <w:rPr>
          <w:rStyle w:val="FootnoteReference"/>
        </w:rPr>
        <w:footnoteRef/>
      </w:r>
      <w:r w:rsidRPr="00010DF7">
        <w:t xml:space="preserve"> Albania, </w:t>
      </w:r>
      <w:r w:rsidRPr="00010DF7">
        <w:rPr>
          <w:i/>
          <w:iCs/>
        </w:rPr>
        <w:t>Albania Revised NDC</w:t>
      </w:r>
      <w:r w:rsidRPr="00010DF7">
        <w:t xml:space="preserve">, UNFCCC, August 2022, at 62, </w:t>
      </w:r>
      <w:hyperlink r:id="rId3" w:history="1">
        <w:r w:rsidRPr="00010DF7">
          <w:rPr>
            <w:rStyle w:val="Hyperlink"/>
          </w:rPr>
          <w:t>https://unfccc.int/sites/default/files/2022-08/Albania%20Revised%20NDC.pdf</w:t>
        </w:r>
      </w:hyperlink>
      <w:r w:rsidRPr="00010DF7">
        <w:t xml:space="preserve">. </w:t>
      </w:r>
    </w:p>
  </w:footnote>
  <w:footnote w:id="11">
    <w:p w14:paraId="5D246A86" w14:textId="77777777" w:rsidR="004116DF" w:rsidRPr="00010DF7" w:rsidRDefault="004116DF" w:rsidP="003168F8">
      <w:pPr>
        <w:pStyle w:val="FootnoteText"/>
      </w:pPr>
      <w:r w:rsidRPr="00010DF7">
        <w:rPr>
          <w:rStyle w:val="FootnoteReference"/>
        </w:rPr>
        <w:footnoteRef/>
      </w:r>
      <w:r w:rsidRPr="00010DF7">
        <w:t xml:space="preserve"> Gender Equality in Society Act [Ligjit të Barazisë Gjinore në Shoqëri], No. 9970, July 24, 2008, art. 4(5), </w:t>
      </w:r>
      <w:hyperlink r:id="rId4" w:history="1">
        <w:r w:rsidRPr="00010DF7">
          <w:rPr>
            <w:rStyle w:val="Hyperlink"/>
          </w:rPr>
          <w:t>https://www.ilo.org/dyn/natlex/docs/ELECTRONIC/85325/97665/F1693144153/ALB85325.pdf</w:t>
        </w:r>
      </w:hyperlink>
      <w:r w:rsidRPr="00010DF7">
        <w:t xml:space="preserve">. </w:t>
      </w:r>
    </w:p>
  </w:footnote>
  <w:footnote w:id="12">
    <w:p w14:paraId="59178160" w14:textId="77777777" w:rsidR="004116DF" w:rsidRPr="00010DF7" w:rsidRDefault="004116DF" w:rsidP="003168F8">
      <w:pPr>
        <w:pStyle w:val="FootnoteText"/>
      </w:pPr>
      <w:r w:rsidRPr="00010DF7">
        <w:rPr>
          <w:rStyle w:val="FootnoteReference"/>
        </w:rPr>
        <w:footnoteRef/>
      </w:r>
      <w:r w:rsidRPr="00010DF7">
        <w:t xml:space="preserve"> Id. art. 15.</w:t>
      </w:r>
    </w:p>
  </w:footnote>
  <w:footnote w:id="13">
    <w:p w14:paraId="2AB03654" w14:textId="09C0D22B" w:rsidR="004116DF" w:rsidRPr="00010DF7" w:rsidRDefault="004116DF" w:rsidP="003855E5">
      <w:pPr>
        <w:pStyle w:val="FootnoteText"/>
      </w:pPr>
      <w:r w:rsidRPr="00010DF7">
        <w:rPr>
          <w:rStyle w:val="FootnoteReference"/>
        </w:rPr>
        <w:footnoteRef/>
      </w:r>
      <w:r w:rsidRPr="00010DF7">
        <w:t xml:space="preserve"> Inter-Institutional Action Plan on the Implementation of the United Nations Security Council Resolution 1325, on Women, Peace And Security 2018-2020, in the Republic of Albania, </w:t>
      </w:r>
      <w:r w:rsidRPr="00010DF7">
        <w:rPr>
          <w:smallCaps/>
        </w:rPr>
        <w:t xml:space="preserve">Women's International League for Peace and Freedom, </w:t>
      </w:r>
      <w:r w:rsidRPr="00010DF7">
        <w:t xml:space="preserve">August 2018, at 15 </w:t>
      </w:r>
      <w:hyperlink r:id="rId5" w:history="1">
        <w:r w:rsidRPr="00010DF7">
          <w:rPr>
            <w:rStyle w:val="Hyperlink"/>
          </w:rPr>
          <w:t>http://1325naps.peacewomen.org/wp-content/uploads/2020/12/Albania-Action-Plan-on-Resolution-1325_ENG-CMD-524-11.09.2019-1-2.pdf</w:t>
        </w:r>
      </w:hyperlink>
      <w:r w:rsidRPr="00010DF7">
        <w:t xml:space="preserve"> </w:t>
      </w:r>
    </w:p>
  </w:footnote>
  <w:footnote w:id="14">
    <w:p w14:paraId="49321FCF" w14:textId="5EC86707" w:rsidR="001D7C45" w:rsidRPr="00010DF7" w:rsidRDefault="001D7C45" w:rsidP="001D7C45">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{"citationID":"ASvbVtAB","properties":{"formattedCitation":"Hungary - Women, Peace, Security, https://www.globalwps.org/details/HUN (last visited Mar 13, 2023).","plainCitation":"Hungary - Women, Peace, Security, https://www.globalwps.org/details/HUN (last visited Mar 13, 2023).","dontUpdate":true,"noteIndex":12},"citationItems":[{"id":946,"uris":["http://zotero.org/users/10345638/items/EKXJ9478"],"itemData":{"id":946,"type":"webpage","title":"Hungary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Albania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https://www.globalwps.org/details/ALB (last visited Mar 13, 2023).</w:t>
      </w:r>
      <w:r w:rsidRPr="00010DF7">
        <w:fldChar w:fldCharType="end"/>
      </w:r>
    </w:p>
  </w:footnote>
  <w:footnote w:id="15">
    <w:p w14:paraId="22FB19CC" w14:textId="77777777" w:rsidR="001D7C45" w:rsidRPr="00010DF7" w:rsidRDefault="001D7C45" w:rsidP="001D7C45">
      <w:pPr>
        <w:pStyle w:val="FootnoteText"/>
      </w:pPr>
      <w:r w:rsidRPr="00010DF7">
        <w:rPr>
          <w:rStyle w:val="FootnoteReference"/>
        </w:rPr>
        <w:footnoteRef/>
      </w:r>
      <w:r w:rsidRPr="00010DF7">
        <w:t xml:space="preserve"> </w:t>
      </w:r>
      <w:r w:rsidRPr="00010DF7">
        <w:rPr>
          <w:smallCaps/>
        </w:rPr>
        <w:t>North Atlantic Treaty Organization</w:t>
      </w:r>
      <w:r w:rsidRPr="00010DF7">
        <w:t xml:space="preserve">, </w:t>
      </w:r>
      <w:r w:rsidRPr="00010DF7">
        <w:rPr>
          <w:i/>
          <w:iCs/>
        </w:rPr>
        <w:t>Summary of the National Reports of NATO Member and Partner Nations to the NATO Committee on Gender Perspectives,</w:t>
      </w:r>
      <w:r w:rsidRPr="00010DF7">
        <w:t xml:space="preserve"> 2015, </w:t>
      </w:r>
      <w:hyperlink r:id="rId6" w:anchor="page=39" w:history="1">
        <w:r w:rsidRPr="00010DF7">
          <w:rPr>
            <w:rStyle w:val="Hyperlink"/>
          </w:rPr>
          <w:t>https://www.nato.int/nato_static_fl2014/assets/pdf/pdf_2017_01/20170113_2015_NCGP_National_Reports_Summary.pdf#page=39</w:t>
        </w:r>
      </w:hyperlink>
      <w:r w:rsidRPr="00010DF7">
        <w:t xml:space="preserve">. </w:t>
      </w:r>
    </w:p>
  </w:footnote>
  <w:footnote w:id="16">
    <w:p w14:paraId="30D8EB3A" w14:textId="139CC429" w:rsidR="002056AB" w:rsidRPr="00010DF7" w:rsidRDefault="002056AB" w:rsidP="002056AB">
      <w:pPr>
        <w:pStyle w:val="FootnoteText"/>
      </w:pPr>
      <w:r w:rsidRPr="00010DF7">
        <w:rPr>
          <w:rStyle w:val="FootnoteReference"/>
        </w:rPr>
        <w:footnoteRef/>
      </w:r>
      <w:r w:rsidRPr="00010DF7">
        <w:t xml:space="preserve"> </w:t>
      </w:r>
      <w:r w:rsidRPr="00010DF7">
        <w:rPr>
          <w:smallCaps/>
        </w:rPr>
        <w:t>North Atlantic Treaty Organization</w:t>
      </w:r>
      <w:r w:rsidRPr="00010DF7">
        <w:t xml:space="preserve">, </w:t>
      </w:r>
      <w:r w:rsidRPr="00010DF7">
        <w:rPr>
          <w:i/>
          <w:iCs/>
        </w:rPr>
        <w:t>Summary of the National Reports of NATO Member and Partner Nations to the NATO Committee on Gender Perspectives. Full Report</w:t>
      </w:r>
      <w:r w:rsidRPr="00010DF7">
        <w:t>,</w:t>
      </w:r>
      <w:r w:rsidRPr="00010DF7">
        <w:rPr>
          <w:i/>
          <w:iCs/>
        </w:rPr>
        <w:t xml:space="preserve"> </w:t>
      </w:r>
      <w:r w:rsidRPr="00010DF7">
        <w:t xml:space="preserve">2019, at 137, </w:t>
      </w:r>
      <w:r w:rsidRPr="00816A14">
        <w:t>https://www.nato.int/nato_static_fl2014/assets/pdf/2021/9/pdf/NCGP_Full_Report_2019.pdf - page=137</w:t>
      </w:r>
      <w:r w:rsidRPr="00010DF7">
        <w:t xml:space="preserve">. </w:t>
      </w:r>
    </w:p>
  </w:footnote>
  <w:footnote w:id="17">
    <w:p w14:paraId="33946A1F" w14:textId="77777777" w:rsidR="00B94B88" w:rsidRPr="00010DF7" w:rsidRDefault="00B94B88" w:rsidP="00B94B88">
      <w:pPr>
        <w:pStyle w:val="FootnoteText"/>
      </w:pPr>
      <w:r w:rsidRPr="00010DF7">
        <w:rPr>
          <w:rStyle w:val="FootnoteReference"/>
        </w:rPr>
        <w:footnoteRef/>
      </w:r>
      <w:r w:rsidRPr="00010DF7">
        <w:t xml:space="preserve"> </w:t>
      </w:r>
      <w:r w:rsidRPr="00010DF7">
        <w:rPr>
          <w:smallCaps/>
        </w:rPr>
        <w:t>North Atlantic Treaty Organization</w:t>
      </w:r>
      <w:r w:rsidRPr="00010DF7">
        <w:t xml:space="preserve">, </w:t>
      </w:r>
      <w:r w:rsidRPr="00010DF7">
        <w:rPr>
          <w:i/>
          <w:iCs/>
        </w:rPr>
        <w:t>Summary of the National Reports of NATO Member and Partner Nations to the NATO Committee on Gender Perspectives. Full Report</w:t>
      </w:r>
      <w:r w:rsidRPr="00010DF7">
        <w:t>,</w:t>
      </w:r>
      <w:r w:rsidRPr="00010DF7">
        <w:rPr>
          <w:i/>
          <w:iCs/>
        </w:rPr>
        <w:t xml:space="preserve"> </w:t>
      </w:r>
      <w:r w:rsidRPr="00010DF7">
        <w:t xml:space="preserve">2019, at 137, </w:t>
      </w:r>
      <w:hyperlink r:id="rId7" w:anchor="page=137" w:history="1">
        <w:r w:rsidRPr="00010DF7">
          <w:rPr>
            <w:rStyle w:val="Hyperlink"/>
          </w:rPr>
          <w:t>https://www.nato.int/nato_static_fl2014/assets/pdf/2021/9/pdf/NCGP_Full_Report_2019.pdf - page=137</w:t>
        </w:r>
      </w:hyperlink>
      <w:r w:rsidRPr="00010DF7">
        <w:t xml:space="preserve">. </w:t>
      </w:r>
    </w:p>
  </w:footnote>
  <w:footnote w:id="18">
    <w:p w14:paraId="16197989" w14:textId="0554561B" w:rsidR="001D7C45" w:rsidRPr="00010DF7" w:rsidRDefault="001D7C45" w:rsidP="001D7C45">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{"citationID":"mkbjvz9b","properties":{"formattedCitation":"Hungary - Women, Peace, Security, https://www.globalwps.org/details/HUN (last visited Mar 13, 2023).","plainCitation":"Hungary - Women, Peace, Security, https://www.globalwps.org/details/HUN (last visited Mar 13, 2023).","dontUpdate":true,"noteIndex":16},"citationItems":[{"id":946,"uris":["http://zotero.org/users/10345638/items/EKXJ9478"],"itemData":{"id":946,"type":"webpage","title":"Hungary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Albania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https://www.globalwps.org/details/ALB (last visited Mar 13, 2023).</w:t>
      </w:r>
      <w:r w:rsidRPr="00010DF7">
        <w:fldChar w:fldCharType="end"/>
      </w:r>
    </w:p>
  </w:footnote>
  <w:footnote w:id="19">
    <w:p w14:paraId="4FBE90B7" w14:textId="77777777" w:rsidR="004116DF" w:rsidRPr="00010DF7" w:rsidRDefault="004116DF" w:rsidP="00F13C5B">
      <w:pPr>
        <w:pStyle w:val="FootnoteText"/>
      </w:pPr>
      <w:r w:rsidRPr="00010DF7">
        <w:rPr>
          <w:rStyle w:val="FootnoteReference"/>
        </w:rPr>
        <w:footnoteRef/>
      </w:r>
      <w:r w:rsidRPr="00010DF7">
        <w:t xml:space="preserve"> </w:t>
      </w:r>
      <w:r w:rsidRPr="00010DF7">
        <w:rPr>
          <w:i/>
          <w:iCs/>
        </w:rPr>
        <w:t>Inter-Institutional Action Plan on the Implementation of the United Nations Security Council Resolution 1325, on Women, Peace And Security 2018-2020, in the Republic of Albania</w:t>
      </w:r>
      <w:r w:rsidRPr="00010DF7">
        <w:t xml:space="preserve">, </w:t>
      </w:r>
      <w:r w:rsidRPr="00010DF7">
        <w:rPr>
          <w:smallCaps/>
        </w:rPr>
        <w:t xml:space="preserve">Women's International League for Peace and Freedom, </w:t>
      </w:r>
      <w:r w:rsidRPr="00010DF7">
        <w:t xml:space="preserve">August 2018, at 14-15 </w:t>
      </w:r>
      <w:hyperlink r:id="rId8" w:history="1">
        <w:r w:rsidRPr="00010DF7">
          <w:rPr>
            <w:rStyle w:val="Hyperlink"/>
          </w:rPr>
          <w:t>http://1325naps.peacewomen.org/wp-content/uploads/2020/12/Albania-Action-Plan-on-Resolution-1325_ENG-CMD-524-11.09.2019-1-2.pdf</w:t>
        </w:r>
      </w:hyperlink>
      <w:r w:rsidRPr="00010DF7">
        <w:t xml:space="preserve"> </w:t>
      </w:r>
    </w:p>
  </w:footnote>
  <w:footnote w:id="20">
    <w:p w14:paraId="54AE9089" w14:textId="5BB67FBA" w:rsidR="004116DF" w:rsidRPr="00010DF7" w:rsidRDefault="004116DF">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{"citationID":"l33zXVZ6","properties":{"formattedCitation":"Military service age and obligation - The World Factbook, {\\scaps Central Intelligence Agency}, https://www.cia.gov/the-world-factbook/field/military-service-age-and-obligation/ (last visited Feb 24, 2023).","plainCitation":"Military service age and obligation - The World Factbook, Central Intelligence Agency, https://www.cia.gov/the-world-factbook/field/military-service-age-and-obligation/ (last visited Feb 24, 2023).","noteIndex":18},"citationItems":[{"id":770,"uris":["http://zotero.org/users/10345638/items/GF66QX9B"],"itemData":{"id":770,"type":"webpage","container-title":"Central Intelligence Agency","genre":"Government Website","title":"Military service age and obligation - The World Factbook","title-short":"CIA","URL":"https://www.cia.gov/the-world-factbook/field/military-service-age-and-obligation/","accessed":{"date-parts":[["2023",2,24]]}}}],"schema":"https://github.com/citation-style-language/schema/raw/master/csl-citation.json"} </w:instrText>
      </w:r>
      <w:r w:rsidRPr="00010DF7">
        <w:fldChar w:fldCharType="separate"/>
      </w:r>
      <w:r w:rsidRPr="00010DF7">
        <w:rPr>
          <w:rFonts w:cs="Times New Roman"/>
          <w:lang w:val="en-GB"/>
        </w:rPr>
        <w:t xml:space="preserve">Military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r w:rsidRPr="00010DF7">
        <w:fldChar w:fldCharType="end"/>
      </w:r>
    </w:p>
  </w:footnote>
  <w:footnote w:id="21">
    <w:p w14:paraId="75CB32E3" w14:textId="1EF7DCB6" w:rsidR="004116DF" w:rsidRPr="00010DF7" w:rsidRDefault="004116DF" w:rsidP="003168F8">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{"citationID":"FHwJqHm2","properties":{"formattedCitation":"Albania \\uc0\\u8211{} 1325 National Action Plans, {\\scaps Women\\uc0\\u8217{}s International League for Peace and Freedom - 1325 NAPs Project}, http://1325naps.peacewomen.org/index.php/albania/ (last visited Feb 20, 2023).","plainCitation":"Albania – 1325 National Action Plans, Women’s International League for Peace and Freedom - 1325 NAPs Project, http://1325naps.peacewomen.org/index.php/albania/ (last visited Feb 20, 2023).","noteIndex":19},"citationItems":[{"id":725,"uris":["http://zotero.org/users/10345638/items/8WX82BTI"],"itemData":{"id":725,"type":"post-weblog","container-title":"Women's International League for Peace and Freedom - 1325 NAPs Project","language":"en-US","title":"Albania – 1325 National Action Plans","URL":"http://1325naps.peacewomen.org/index.php/albania/","accessed":{"date-parts":[["2023",2,20]]}}}],"schema":"https://github.com/citation-style-language/schema/raw/master/csl-citation.json"} </w:instrText>
      </w:r>
      <w:r w:rsidRPr="00010DF7">
        <w:fldChar w:fldCharType="separate"/>
      </w:r>
      <w:r w:rsidRPr="00010DF7">
        <w:rPr>
          <w:rFonts w:cs="Times New Roman"/>
          <w:lang w:val="en-GB"/>
        </w:rPr>
        <w:t xml:space="preserve">Albania – 1325 National Action Plans, </w:t>
      </w:r>
      <w:r w:rsidRPr="00010DF7">
        <w:rPr>
          <w:rFonts w:cs="Times New Roman"/>
          <w:smallCaps/>
          <w:lang w:val="en-GB"/>
        </w:rPr>
        <w:t>Women’s International League for Peace and Freedom - 1325 NAPs Project</w:t>
      </w:r>
      <w:r w:rsidRPr="00010DF7">
        <w:rPr>
          <w:rFonts w:cs="Times New Roman"/>
          <w:lang w:val="en-GB"/>
        </w:rPr>
        <w:t>, http://1325naps.peacewomen.org/index.php/albania/ (last visited Feb 20, 2023).</w:t>
      </w:r>
      <w:r w:rsidRPr="00010DF7">
        <w:fldChar w:fldCharType="end"/>
      </w:r>
    </w:p>
  </w:footnote>
  <w:footnote w:id="22">
    <w:p w14:paraId="4FCE6D20" w14:textId="39B2FA15" w:rsidR="00497D8D" w:rsidRPr="00010DF7" w:rsidRDefault="00497D8D" w:rsidP="0010632A">
      <w:pPr>
        <w:pStyle w:val="FootnoteText"/>
      </w:pPr>
      <w:r w:rsidRPr="00010DF7">
        <w:rPr>
          <w:rStyle w:val="FootnoteReference"/>
        </w:rPr>
        <w:footnoteRef/>
      </w:r>
      <w:r w:rsidR="002C2058" w:rsidRPr="00010DF7">
        <w:t xml:space="preserve"> </w:t>
      </w:r>
      <w:r w:rsidR="00687CE0" w:rsidRPr="00010DF7">
        <w:t>Caitlin Biddolph and Laura J. Shepherd</w:t>
      </w:r>
      <w:r w:rsidR="002C2058" w:rsidRPr="00010DF7">
        <w:t xml:space="preserve">, </w:t>
      </w:r>
      <w:r w:rsidR="00687CE0" w:rsidRPr="00010DF7">
        <w:rPr>
          <w:i/>
          <w:iCs/>
        </w:rPr>
        <w:t>WPS National Action Plans: Content Analysis and Data Visualisation</w:t>
      </w:r>
      <w:r w:rsidR="0010632A" w:rsidRPr="00010DF7">
        <w:rPr>
          <w:i/>
          <w:iCs/>
        </w:rPr>
        <w:t>. Albania</w:t>
      </w:r>
      <w:r w:rsidR="00687CE0" w:rsidRPr="00010DF7">
        <w:t>, v3</w:t>
      </w:r>
      <w:r w:rsidR="0010632A" w:rsidRPr="00010DF7">
        <w:t xml:space="preserve">, </w:t>
      </w:r>
      <w:r w:rsidR="002C2058" w:rsidRPr="00010DF7">
        <w:t xml:space="preserve">2022, </w:t>
      </w:r>
      <w:r w:rsidR="0010632A" w:rsidRPr="00010DF7">
        <w:rPr>
          <w:rFonts w:cs="Times New Roman"/>
          <w:smallCaps/>
          <w:lang w:val="en-GB"/>
        </w:rPr>
        <w:t>LSE - Women, Peace Security</w:t>
      </w:r>
      <w:r w:rsidR="00687CE0" w:rsidRPr="00010DF7">
        <w:t xml:space="preserve">. Online, at </w:t>
      </w:r>
      <w:r w:rsidRPr="00010DF7">
        <w:fldChar w:fldCharType="begin"/>
      </w:r>
      <w:r w:rsidR="00AD6653" w:rsidRPr="00010DF7">
        <w:instrText xml:space="preserve"> ADDIN ZOTERO_ITEM CSL_CITATION {"citationID":"yrA9tD1j","properties":{"formattedCitation":"LSE-WPS National Action Plans: Albania, {\\scaps LSE - Women, Peace Security}, https://www.wpsnaps.org/nap/albanian-national-action-plan/ (last visited Mar 12, 2023).","plainCitation":"LSE-WPS National Action Plans: Albania, LSE - Women, Peace Security, https://www.wpsnaps.org/nap/albanian-national-action-plan/ (last visited Mar 12, 2023).","dontUpdate":true,"noteIndex":20},"citationItems":[{"id":934,"uris":["http://zotero.org/users/10345638/items/FT49W2NB"],"itemData":{"id":934,"type":"webpage","abstract":"Explore the Women, Peace and Security National Action Plans by region, country, year and topic.","container-title":"LSE - Women, Peace Security","language":"en-GB","title":"LSE-WPS National Action Plans: Albania","URL":"https://www.wpsnaps.org/nap/albanian-national-action-plan/","accessed":{"date-parts":[["2023",3,12]]}}}],"schema":"https://github.com/citation-style-language/schema/raw/master/csl-citation.json"} </w:instrText>
      </w:r>
      <w:r w:rsidRPr="00010DF7">
        <w:fldChar w:fldCharType="separate"/>
      </w:r>
      <w:r w:rsidRPr="00010DF7">
        <w:rPr>
          <w:rFonts w:cs="Times New Roman"/>
          <w:lang w:val="en-GB"/>
        </w:rPr>
        <w:t>https://www.wpsnaps.org/nap/albanian-national-action-plan/ (last visited Mar 12, 2023).</w:t>
      </w:r>
      <w:r w:rsidRPr="00010DF7">
        <w:fldChar w:fldCharType="end"/>
      </w:r>
    </w:p>
  </w:footnote>
  <w:footnote w:id="23">
    <w:p w14:paraId="7A4384BF" w14:textId="0F52ACC6" w:rsidR="004116DF" w:rsidRPr="00010DF7" w:rsidRDefault="004116DF" w:rsidP="00792EB2">
      <w:pPr>
        <w:pStyle w:val="FootnoteText"/>
      </w:pPr>
      <w:r w:rsidRPr="00010DF7">
        <w:rPr>
          <w:rStyle w:val="FootnoteReference"/>
        </w:rPr>
        <w:footnoteRef/>
      </w:r>
      <w:r w:rsidRPr="00010DF7">
        <w:t xml:space="preserve"> Govern d'Andorra, </w:t>
      </w:r>
      <w:r w:rsidRPr="00010DF7">
        <w:rPr>
          <w:i/>
          <w:iCs/>
        </w:rPr>
        <w:t>Contribución determinada a nivel nacional de Andorra — Actualizción</w:t>
      </w:r>
      <w:r w:rsidRPr="00010DF7">
        <w:t xml:space="preserve">, UNFCCC, November 2022, </w:t>
      </w:r>
      <w:hyperlink r:id="rId9" w:history="1">
        <w:r w:rsidRPr="00010DF7">
          <w:rPr>
            <w:rStyle w:val="Hyperlink"/>
          </w:rPr>
          <w:t>https://unfccc.int/sites/default/files/NDC/2023-01/221125_Actualizaci%C3%B3n_NDC_DEF.pdf</w:t>
        </w:r>
      </w:hyperlink>
      <w:r w:rsidRPr="00010DF7">
        <w:t xml:space="preserve">. </w:t>
      </w:r>
    </w:p>
  </w:footnote>
  <w:footnote w:id="24">
    <w:p w14:paraId="3C011E8D" w14:textId="4C0C7E89" w:rsidR="004116DF" w:rsidRPr="00010DF7" w:rsidRDefault="004116DF" w:rsidP="00D0538C">
      <w:pPr>
        <w:pStyle w:val="FootnoteText"/>
      </w:pPr>
      <w:r w:rsidRPr="00010DF7">
        <w:rPr>
          <w:rStyle w:val="FootnoteReference"/>
        </w:rPr>
        <w:footnoteRef/>
      </w:r>
      <w:r w:rsidRPr="00010DF7">
        <w:t xml:space="preserve"> Government of the Republic of Armenia, </w:t>
      </w:r>
      <w:r w:rsidRPr="00010DF7">
        <w:rPr>
          <w:i/>
          <w:iCs/>
        </w:rPr>
        <w:t>Decision of the Government of the Republic of Armenia «22» April 2021 N 610 - L on Approval of the Nationally Determined Contribution 2021-2030 of the Republic of Armenia to Paris Agreement</w:t>
      </w:r>
      <w:r w:rsidRPr="00010DF7">
        <w:t xml:space="preserve">, UNFCC, Apr. 22, 2021, </w:t>
      </w:r>
      <w:hyperlink r:id="rId10" w:history="1">
        <w:r w:rsidRPr="00010DF7">
          <w:rPr>
            <w:rStyle w:val="Hyperlink"/>
          </w:rPr>
          <w:t>https://unfccc.int/sites/default/files/NDC/2022-06/NDC%20of%20Republic%20of%20Armenia%20%202021-2030.pdf</w:t>
        </w:r>
      </w:hyperlink>
      <w:r w:rsidRPr="00010DF7">
        <w:t xml:space="preserve">. </w:t>
      </w:r>
    </w:p>
  </w:footnote>
  <w:footnote w:id="25">
    <w:p w14:paraId="0F6C27B4" w14:textId="6933AB44" w:rsidR="004116DF" w:rsidRPr="00010DF7" w:rsidRDefault="004116DF" w:rsidP="003168F8">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{"citationID":"TZ6EHTD7","properties":{"formattedCitation":"Sossi Tatikyan, {\\i{}Armenia\\uc0\\u8217{}s Peace and Security: Women\\uc0\\u8217{}s Participation and Feminist Perspectives | Heinrich B\\uc0\\u246{}ll Stiftung | Tbilisi - South Caucasus Region}, {\\scaps Heinrich-B\\uc0\\u246{}ll-Stiftung} (2022), https://ge.boell.org/en/2022/12/18/armenias-peace-and-security-womens-participation-and-feminist-perspectives (last visited Feb 20, 2023).","plainCitation":"Sossi Tatikyan, Armenia’s Peace and Security: Women’s Participation and Feminist Perspectives | Heinrich Böll Stiftung | Tbilisi - South Caucasus Region, Heinrich-Böll-Stiftung (2022), https://ge.boell.org/en/2022/12/18/armenias-peace-and-security-womens-participation-and-feminist-perspectives (last visited Feb 20, 2023).","dontUpdate":true,"noteIndex":23},"citationItems":[{"id":731,"uris":["http://zotero.org/users/10345638/items/LCJCG5CX"],"itemData":{"id":731,"type":"webpage","abstract":"Proposing a feminist foreign policy would raise eyebrows in Armenia, a country that has been involved in armed conflict and has conventional threats to its security and sovereignty in a complicated geopolitical environment.","container-title":"Heinrich-Böll-Stiftung","language":"en","title":"Armenia’s Peace and Security: Women’s Participation and Feminist Perspectives | Heinrich Böll Stiftung | Tbilisi - South Caucasus Region","title-short":"Armenia’s Peace and Security","URL":"https://ge.boell.org/en/2022/12/18/armenias-peace-and-security-womens-participation-and-feminist-perspectives","author":[{"family":"Tatikyan","given":"Sossi"}],"accessed":{"date-parts":[["2023",2,20]]},"issued":{"date-parts":[["2022",12,18]]}}}],"schema":"https://github.com/citation-style-language/schema/raw/master/csl-citation.json"} </w:instrText>
      </w:r>
      <w:r w:rsidRPr="00010DF7">
        <w:fldChar w:fldCharType="separate"/>
      </w:r>
      <w:r w:rsidRPr="00010DF7">
        <w:rPr>
          <w:rFonts w:cs="Times New Roman"/>
          <w:lang w:val="en-GB"/>
        </w:rPr>
        <w:t xml:space="preserve">Sossi Tatikyan, </w:t>
      </w:r>
      <w:r w:rsidRPr="00010DF7">
        <w:rPr>
          <w:rFonts w:cs="Times New Roman"/>
          <w:i/>
          <w:iCs/>
          <w:lang w:val="en-GB"/>
        </w:rPr>
        <w:t>Armenia’s Peace and Security: Women’s Participation and Feminist Perspectives — Tbilisi - South Caucasus Region</w:t>
      </w:r>
      <w:r w:rsidRPr="00010DF7">
        <w:rPr>
          <w:rFonts w:cs="Times New Roman"/>
          <w:lang w:val="en-GB"/>
        </w:rPr>
        <w:t xml:space="preserve">, </w:t>
      </w:r>
      <w:r w:rsidRPr="00010DF7">
        <w:rPr>
          <w:rFonts w:cs="Times New Roman"/>
          <w:smallCaps/>
          <w:lang w:val="en-GB"/>
        </w:rPr>
        <w:t>Heinrich-Böll-Stiftung</w:t>
      </w:r>
      <w:r w:rsidRPr="00010DF7">
        <w:rPr>
          <w:rFonts w:cs="Times New Roman"/>
          <w:lang w:val="en-GB"/>
        </w:rPr>
        <w:t xml:space="preserve"> (2022), https://ge.boell.org/en/2022/12/18/armenias-peace-and-security-womens-participation-and-feminist-perspectives (last visited Feb 20, 2023).</w:t>
      </w:r>
      <w:r w:rsidRPr="00010DF7">
        <w:fldChar w:fldCharType="end"/>
      </w:r>
    </w:p>
  </w:footnote>
  <w:footnote w:id="26">
    <w:p w14:paraId="48B97815" w14:textId="77777777" w:rsidR="00CB78C9" w:rsidRPr="00010DF7" w:rsidRDefault="00CB78C9" w:rsidP="00CB78C9">
      <w:pPr>
        <w:pStyle w:val="FootnoteText"/>
      </w:pPr>
      <w:r w:rsidRPr="00010DF7">
        <w:rPr>
          <w:rStyle w:val="FootnoteReference"/>
        </w:rPr>
        <w:footnoteRef/>
      </w:r>
      <w:r w:rsidRPr="00010DF7">
        <w:t xml:space="preserve"> CEDAW, </w:t>
      </w:r>
      <w:r w:rsidRPr="00010DF7">
        <w:rPr>
          <w:i/>
          <w:iCs/>
        </w:rPr>
        <w:t>Concluding observations on the seventh periodic report of Armenia*</w:t>
      </w:r>
      <w:r w:rsidRPr="00010DF7">
        <w:t>, C/ARM/CO/7 (2022), para.30.</w:t>
      </w:r>
    </w:p>
  </w:footnote>
  <w:footnote w:id="27">
    <w:p w14:paraId="433BD3F8" w14:textId="3312B219" w:rsidR="004116DF" w:rsidRPr="00010DF7" w:rsidRDefault="004116DF" w:rsidP="008617B1">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{"citationID":"499kUq7w","properties":{"formattedCitation":"Sossi Tatikyan, {\\i{}Armenia\\uc0\\u8217{}s Peace and Security: Women\\uc0\\u8217{}s Participation and Feminist Perspectives | Heinrich B\\uc0\\u246{}ll Stiftung | Tbilisi - South Caucasus Region}, {\\scaps Heinrich-B\\uc0\\u246{}ll-Stiftung} (2022), https://ge.boell.org/en/2022/12/18/armenias-peace-and-security-womens-participation-and-feminist-perspectives (last visited Feb 20, 2023).","plainCitation":"Sossi Tatikyan, Armenia’s Peace and Security: Women’s Participation and Feminist Perspectives | Heinrich Böll Stiftung | Tbilisi - South Caucasus Region, Heinrich-Böll-Stiftung (2022), https://ge.boell.org/en/2022/12/18/armenias-peace-and-security-womens-participation-and-feminist-perspectives (last visited Feb 20, 2023).","dontUpdate":true,"noteIndex":24},"citationItems":[{"id":731,"uris":["http://zotero.org/users/10345638/items/LCJCG5CX"],"itemData":{"id":731,"type":"webpage","abstract":"Proposing a feminist foreign policy would raise eyebrows in Armenia, a country that has been involved in armed conflict and has conventional threats to its security and sovereignty in a complicated geopolitical environment.","container-title":"Heinrich-Böll-Stiftung","language":"en","title":"Armenia’s Peace and Security: Women’s Participation and Feminist Perspectives | Heinrich Böll Stiftung | Tbilisi - South Caucasus Region","title-short":"Armenia’s Peace and Security","URL":"https://ge.boell.org/en/2022/12/18/armenias-peace-and-security-womens-participation-and-feminist-perspectives","author":[{"family":"Tatikyan","given":"Sossi"}],"accessed":{"date-parts":[["2023",2,20]]},"issued":{"date-parts":[["2022",12,18]]}}}],"schema":"https://github.com/citation-style-language/schema/raw/master/csl-citation.json"} </w:instrText>
      </w:r>
      <w:r w:rsidRPr="00010DF7">
        <w:fldChar w:fldCharType="separate"/>
      </w:r>
      <w:r w:rsidRPr="00010DF7">
        <w:rPr>
          <w:rFonts w:cs="Times New Roman"/>
          <w:lang w:val="en-GB"/>
        </w:rPr>
        <w:t xml:space="preserve">Sossi Tatikyan, </w:t>
      </w:r>
      <w:r w:rsidRPr="00010DF7">
        <w:rPr>
          <w:rFonts w:cs="Times New Roman"/>
          <w:i/>
          <w:iCs/>
          <w:lang w:val="en-GB"/>
        </w:rPr>
        <w:t>Armenia’s Peace and Security: Women’s Participation and Feminist Perspectives — Tbilisi - South Caucasus Region</w:t>
      </w:r>
      <w:r w:rsidRPr="00010DF7">
        <w:rPr>
          <w:rFonts w:cs="Times New Roman"/>
          <w:lang w:val="en-GB"/>
        </w:rPr>
        <w:t xml:space="preserve">, </w:t>
      </w:r>
      <w:r w:rsidRPr="00010DF7">
        <w:rPr>
          <w:rFonts w:cs="Times New Roman"/>
          <w:smallCaps/>
          <w:lang w:val="en-GB"/>
        </w:rPr>
        <w:t>Heinrich-Böll-Stiftung</w:t>
      </w:r>
      <w:r w:rsidRPr="00010DF7">
        <w:rPr>
          <w:rFonts w:cs="Times New Roman"/>
          <w:lang w:val="en-GB"/>
        </w:rPr>
        <w:t xml:space="preserve"> (2022), https://ge.boell.org/en/2022/12/18/armenias-peace-and-security-womens-participation-and-feminist-perspectives (last visited Feb 20, 2023).</w:t>
      </w:r>
      <w:r w:rsidRPr="00010DF7">
        <w:fldChar w:fldCharType="end"/>
      </w:r>
    </w:p>
  </w:footnote>
  <w:footnote w:id="28">
    <w:p w14:paraId="2266F242" w14:textId="21471104" w:rsidR="004116DF" w:rsidRPr="00010DF7" w:rsidRDefault="004116DF">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29">
    <w:p w14:paraId="44FC6B6A" w14:textId="2EF010FE" w:rsidR="004116DF" w:rsidRPr="00010DF7" w:rsidRDefault="004116DF">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{"citationID":"c0Jtaxg7","properties":{"formattedCitation":"Elena Teslova, {\\i{}Armenia planning voluntary military conscription for women, says prime minister}, Jan. 28, 2023, https://www.aa.com.tr/en/europe/armenia-planning-voluntary-military-conscription-for-women-says-prime-minister/2800160 (last visited Feb 24, 2023).","plainCitation":"Elena Teslova, Armenia planning voluntary military conscription for women, says prime minister, Jan. 28, 2023, https://www.aa.com.tr/en/europe/armenia-planning-voluntary-military-conscription-for-women-says-prime-minister/2800160 (last visited Feb 24, 2023).","noteIndex":26},"citationItems":[{"id":758,"uris":["http://zotero.org/users/10345638/items/RTNQZC4S"],"itemData":{"id":758,"type":"article-newspaper","abstract":"Nikol Pashinyan says government pursuing 'large-scale reforms' in Armenian military - Anadolu Agency","event-place":"Moscow","publisher-place":"Moscow","title":"Armenia planning voluntary military conscription for women, says prime minister","URL":"https://www.aa.com.tr/en/europe/armenia-planning-voluntary-military-conscription-for-women-says-prime-minister/2800160","author":[{"family":"Teslova","given":"Elena"}],"accessed":{"date-parts":[["2023",2,24]]},"issued":{"date-parts":[["2023",1,28]]}}}],"schema":"https://github.com/citation-style-language/schema/raw/master/csl-citation.json"} </w:instrText>
      </w:r>
      <w:r w:rsidRPr="00010DF7">
        <w:fldChar w:fldCharType="separate"/>
      </w:r>
      <w:r w:rsidRPr="00010DF7">
        <w:rPr>
          <w:rFonts w:cs="Times New Roman"/>
          <w:lang w:val="en-GB"/>
        </w:rPr>
        <w:t xml:space="preserve">Elena Teslova, </w:t>
      </w:r>
      <w:r w:rsidRPr="00010DF7">
        <w:rPr>
          <w:rFonts w:cs="Times New Roman"/>
          <w:i/>
          <w:iCs/>
          <w:lang w:val="en-GB"/>
        </w:rPr>
        <w:t>Armenia planning voluntary military conscription for women, says prime minister</w:t>
      </w:r>
      <w:r w:rsidRPr="00010DF7">
        <w:rPr>
          <w:rFonts w:cs="Times New Roman"/>
          <w:lang w:val="en-GB"/>
        </w:rPr>
        <w:t>, Jan. 28, 2023, https://www.aa.com.tr/en/europe/armenia-planning-voluntary-military-conscription-for-women-says-prime-minister/2800160 (last visited Feb 24, 2023).</w:t>
      </w:r>
      <w:r w:rsidRPr="00010DF7">
        <w:fldChar w:fldCharType="end"/>
      </w:r>
    </w:p>
  </w:footnote>
  <w:footnote w:id="30">
    <w:p w14:paraId="693FB80B" w14:textId="69411712" w:rsidR="004116DF" w:rsidRPr="00010DF7" w:rsidRDefault="004116DF" w:rsidP="003168F8">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{"citationID":"6AcPQQWO","properties":{"formattedCitation":"Armenia \\uc0\\u8211{} 1325 National Action Plans, {\\scaps Women\\uc0\\u8217{}s International League for Peace and Freedom - 1325 NAPs Project}, http://1325naps.peacewomen.org/index.php/armenia/ (last visited Feb 20, 2023).","plainCitation":"Armenia – 1325 National Action Plans, Women’s International League for Peace and Freedom - 1325 NAPs Project, http://1325naps.peacewomen.org/index.php/armenia/ (last visited Feb 20, 2023).","noteIndex":27},"citationItems":[{"id":733,"uris":["http://zotero.org/users/10345638/items/J3GUPPZQ"],"itemData":{"id":733,"type":"post-weblog","container-title":"Women's International League for Peace and Freedom - 1325 NAPs Project","language":"en-US","title":"Armenia – 1325 National Action Plans","URL":"http://1325naps.peacewomen.org/index.php/armenia/","accessed":{"date-parts":[["2023",2,20]]}}}],"schema":"https://github.com/citation-style-language/schema/raw/master/csl-citation.json"} </w:instrText>
      </w:r>
      <w:r w:rsidRPr="00010DF7">
        <w:fldChar w:fldCharType="separate"/>
      </w:r>
      <w:r w:rsidRPr="00010DF7">
        <w:rPr>
          <w:rFonts w:cs="Times New Roman"/>
          <w:lang w:val="en-GB"/>
        </w:rPr>
        <w:t xml:space="preserve">Armenia – 1325 National Action Plans, </w:t>
      </w:r>
      <w:r w:rsidRPr="00010DF7">
        <w:rPr>
          <w:rFonts w:cs="Times New Roman"/>
          <w:smallCaps/>
          <w:lang w:val="en-GB"/>
        </w:rPr>
        <w:t>Women’s International League for Peace and Freedom - 1325 NAPs Project</w:t>
      </w:r>
      <w:r w:rsidRPr="00010DF7">
        <w:rPr>
          <w:rFonts w:cs="Times New Roman"/>
          <w:lang w:val="en-GB"/>
        </w:rPr>
        <w:t>, http://1325naps.peacewomen.org/index.php/armenia/ (last visited Feb 20, 2023).</w:t>
      </w:r>
      <w:r w:rsidRPr="00010DF7">
        <w:fldChar w:fldCharType="end"/>
      </w:r>
    </w:p>
  </w:footnote>
  <w:footnote w:id="31">
    <w:p w14:paraId="4C8967F9" w14:textId="710273D7" w:rsidR="004116DF" w:rsidRPr="00010DF7" w:rsidRDefault="004116DF" w:rsidP="00C1016F">
      <w:pPr>
        <w:pStyle w:val="FootnoteText"/>
      </w:pPr>
      <w:r w:rsidRPr="00010DF7">
        <w:rPr>
          <w:rStyle w:val="FootnoteReference"/>
        </w:rPr>
        <w:footnoteRef/>
      </w:r>
      <w:r w:rsidRPr="00010DF7">
        <w:t xml:space="preserve"> </w:t>
      </w:r>
      <w:r w:rsidRPr="00010DF7">
        <w:rPr>
          <w:smallCaps/>
        </w:rPr>
        <w:t xml:space="preserve">Bundes-Gleichbehandlungsgesetz 1993 [B-GlBG] [Federal Equal Treatment Act] Bundesgesetzblatt [BGBl] </w:t>
      </w:r>
      <w:r w:rsidRPr="00010DF7">
        <w:t xml:space="preserve">No. 100/1993, as amended, §§11-11d, </w:t>
      </w:r>
      <w:hyperlink r:id="rId11" w:history="1">
        <w:r w:rsidRPr="00010DF7">
          <w:rPr>
            <w:rStyle w:val="Hyperlink"/>
          </w:rPr>
          <w:t>https://www.ris.bka.gv.at/GeltendeFassung.wxe?Abfrage=Bundesnormen&amp;Gesetzesnummer=10008858</w:t>
        </w:r>
      </w:hyperlink>
      <w:r w:rsidRPr="00010DF7">
        <w:t xml:space="preserve"> (Austria).</w:t>
      </w:r>
    </w:p>
  </w:footnote>
  <w:footnote w:id="32">
    <w:p w14:paraId="77BE93EE" w14:textId="4FE97ADC" w:rsidR="004116DF" w:rsidRPr="00010DF7" w:rsidRDefault="004116DF">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{"citationID":"P63AULVq","properties":{"formattedCitation":"{\\scaps Andrea Wicke}, {\\i{}Implementation of a gender mainstreaming strategy in diplomacy}, 53 (2004), https://rm.coe.int/16805916ba.","plainCitation":"Andrea Wicke, Implementation of a gender mainstreaming strategy in diplomacy, 53 (2004), https://rm.coe.int/16805916ba.","dontUpdate":true,"noteIndex":29},"citationItems":[{"id":881,"uris":["http://zotero.org/users/10345638/items/5I3BCRWZ"],"itemData":{"id":881,"type":"report","collection-title":"Women in Diplomacy — Seminar proceedings Strasbourg, 28-29 October 2004","page":"53-60","publisher":"Council of Europe","title":"Implementation of a gender mainstreaming strategy in diplomacy","URL":"https://rm.coe.int/16805916ba","author":[{"family":"Wicke","given":"Andrea"}],"issued":{"date-parts":[["2004"]]}}}],"schema":"https://github.com/citation-style-language/schema/raw/master/csl-citation.json"} </w:instrText>
      </w:r>
      <w:r w:rsidRPr="00010DF7">
        <w:fldChar w:fldCharType="separate"/>
      </w:r>
      <w:r w:rsidRPr="00010DF7">
        <w:rPr>
          <w:rFonts w:cs="Times New Roman"/>
          <w:smallCaps/>
          <w:lang w:val="en-GB"/>
        </w:rPr>
        <w:t>Andrea Wicke</w:t>
      </w:r>
      <w:r w:rsidRPr="00010DF7">
        <w:rPr>
          <w:rFonts w:cs="Times New Roman"/>
          <w:lang w:val="en-GB"/>
        </w:rPr>
        <w:t xml:space="preserve">, </w:t>
      </w:r>
      <w:r w:rsidRPr="00010DF7">
        <w:rPr>
          <w:rFonts w:cs="Times New Roman"/>
          <w:i/>
          <w:iCs/>
          <w:lang w:val="en-GB"/>
        </w:rPr>
        <w:t>Implementation of a gender mainstreaming strategy in diplomacy</w:t>
      </w:r>
      <w:r w:rsidRPr="00010DF7">
        <w:rPr>
          <w:rFonts w:cs="Times New Roman"/>
          <w:lang w:val="en-GB"/>
        </w:rPr>
        <w:t>, 50 (2004), https://rm.coe.int/16805916ba.</w:t>
      </w:r>
      <w:r w:rsidRPr="00010DF7">
        <w:fldChar w:fldCharType="end"/>
      </w:r>
    </w:p>
  </w:footnote>
  <w:footnote w:id="33">
    <w:p w14:paraId="51187863" w14:textId="77777777" w:rsidR="008F0F41" w:rsidRPr="009043EC" w:rsidRDefault="008F0F41" w:rsidP="008F0F41">
      <w:pPr>
        <w:pStyle w:val="FootnoteText"/>
      </w:pPr>
      <w:r>
        <w:rPr>
          <w:rStyle w:val="FootnoteReference"/>
        </w:rPr>
        <w:footnoteRef/>
      </w:r>
      <w:r>
        <w:t xml:space="preserve"> </w:t>
      </w:r>
      <w:r w:rsidRPr="009043EC">
        <w:t xml:space="preserve">CEDAW, </w:t>
      </w:r>
      <w:r w:rsidRPr="009043EC">
        <w:rPr>
          <w:i/>
          <w:iCs/>
        </w:rPr>
        <w:t>Concluding observations on the ninth periodic report of Austria</w:t>
      </w:r>
      <w:r w:rsidRPr="009043EC">
        <w:t>, C/AUT/CO/9 (2019), para. 27.</w:t>
      </w:r>
    </w:p>
  </w:footnote>
  <w:footnote w:id="34">
    <w:p w14:paraId="79E07D2C" w14:textId="30481634" w:rsidR="00610B3C" w:rsidRPr="00010DF7" w:rsidRDefault="00610B3C" w:rsidP="00610B3C">
      <w:pPr>
        <w:pStyle w:val="FootnoteText"/>
      </w:pPr>
      <w:r w:rsidRPr="00010DF7">
        <w:rPr>
          <w:rStyle w:val="FootnoteReference"/>
        </w:rPr>
        <w:footnoteRef/>
      </w:r>
      <w:r w:rsidRPr="00010DF7">
        <w:t xml:space="preserve"> </w:t>
      </w:r>
      <w:r w:rsidRPr="00010DF7">
        <w:rPr>
          <w:smallCaps/>
        </w:rPr>
        <w:t xml:space="preserve">Bundes-Gleichbehandlungsgesetz 1993 [B-GlBG] [Federal Equal Treatment Act] Bundesgesetzblatt [BGBl] </w:t>
      </w:r>
      <w:r w:rsidRPr="00010DF7">
        <w:t xml:space="preserve">No. 100/1993, as amended, §47, </w:t>
      </w:r>
      <w:hyperlink r:id="rId12" w:history="1">
        <w:r w:rsidRPr="00010DF7">
          <w:rPr>
            <w:rStyle w:val="Hyperlink"/>
          </w:rPr>
          <w:t>https://www.ris.bka.gv.at/GeltendeFassung.wxe?Abfrage=Bundesnormen&amp;Gesetzesnummer=10008858</w:t>
        </w:r>
      </w:hyperlink>
      <w:r w:rsidRPr="00010DF7">
        <w:t xml:space="preserve"> (Austria).</w:t>
      </w:r>
    </w:p>
  </w:footnote>
  <w:footnote w:id="35">
    <w:p w14:paraId="22208E13" w14:textId="77777777" w:rsidR="008F0F41" w:rsidRPr="009043EC" w:rsidRDefault="008F0F41" w:rsidP="008F0F41">
      <w:pPr>
        <w:pStyle w:val="FootnoteText"/>
      </w:pPr>
      <w:r>
        <w:rPr>
          <w:rStyle w:val="FootnoteReference"/>
        </w:rPr>
        <w:footnoteRef/>
      </w:r>
      <w:r>
        <w:t xml:space="preserve"> </w:t>
      </w:r>
      <w:r w:rsidRPr="009043EC">
        <w:t xml:space="preserve">CEDAW, </w:t>
      </w:r>
      <w:r w:rsidRPr="009043EC">
        <w:rPr>
          <w:i/>
          <w:iCs/>
        </w:rPr>
        <w:t>Concluding observations on the ninth periodic report of Austria</w:t>
      </w:r>
      <w:r w:rsidRPr="009043EC">
        <w:t>, C/AUT/CO/9 (2019), para. 27.</w:t>
      </w:r>
    </w:p>
  </w:footnote>
  <w:footnote w:id="36">
    <w:p w14:paraId="4BA2F353" w14:textId="77777777" w:rsidR="004116DF" w:rsidRPr="00010DF7" w:rsidRDefault="004116DF" w:rsidP="000463F4">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37">
    <w:p w14:paraId="16BCDDA4" w14:textId="1541DACF" w:rsidR="004116DF" w:rsidRPr="00010DF7" w:rsidRDefault="004116DF" w:rsidP="009A1183">
      <w:pPr>
        <w:pStyle w:val="FootnoteText"/>
      </w:pPr>
      <w:r w:rsidRPr="00010DF7">
        <w:rPr>
          <w:rStyle w:val="FootnoteReference"/>
        </w:rPr>
        <w:footnoteRef/>
      </w:r>
      <w:r w:rsidRPr="00010DF7">
        <w:t xml:space="preserve"> Federal Ministry for European and International Affaris, Revised National Action Plan on Implementing UN Security Council Resolution 1325 (2000), </w:t>
      </w:r>
      <w:r w:rsidRPr="00010DF7">
        <w:rPr>
          <w:rFonts w:cs="Times New Roman"/>
          <w:smallCaps/>
          <w:lang w:val="en-GB"/>
        </w:rPr>
        <w:t>Women’s International League for Peace and Freedom - 1325 NAPs Project</w:t>
      </w:r>
      <w:r w:rsidRPr="00010DF7">
        <w:rPr>
          <w:rFonts w:cs="Times New Roman"/>
          <w:lang w:val="en-GB"/>
        </w:rPr>
        <w:t xml:space="preserve">, 2012, </w:t>
      </w:r>
      <w:hyperlink r:id="rId13" w:history="1">
        <w:r w:rsidRPr="00010DF7">
          <w:rPr>
            <w:rStyle w:val="Hyperlink"/>
          </w:rPr>
          <w:t>http://peacewomen.org/sites/default/files/austriaupdatednap2012.pdf</w:t>
        </w:r>
      </w:hyperlink>
      <w:r w:rsidRPr="00010DF7">
        <w:t xml:space="preserve">. </w:t>
      </w:r>
    </w:p>
  </w:footnote>
  <w:footnote w:id="38">
    <w:p w14:paraId="0796EE18" w14:textId="19342A45" w:rsidR="004116DF" w:rsidRPr="00010DF7" w:rsidRDefault="004116DF">
      <w:pPr>
        <w:pStyle w:val="FootnoteText"/>
      </w:pPr>
      <w:r w:rsidRPr="00010DF7">
        <w:rPr>
          <w:rStyle w:val="FootnoteReference"/>
        </w:rPr>
        <w:footnoteRef/>
      </w:r>
      <w:r w:rsidRPr="00010DF7">
        <w:t xml:space="preserve"> </w:t>
      </w:r>
      <w:r w:rsidRPr="00010DF7">
        <w:rPr>
          <w:i/>
          <w:iCs/>
        </w:rPr>
        <w:t>Information to the United Nations Framework Convention on Climate Change (UNFCCC) on the Intended Nationally Determined Contribution (INDC) of the Republic of Azerbaijan</w:t>
      </w:r>
      <w:r w:rsidRPr="00010DF7">
        <w:t xml:space="preserve">, </w:t>
      </w:r>
      <w:hyperlink r:id="rId14" w:history="1">
        <w:r w:rsidRPr="00010DF7">
          <w:rPr>
            <w:rStyle w:val="Hyperlink"/>
          </w:rPr>
          <w:t>https://www4.unfccc.int/sites/submissions/INDC/Published%20Documents/Azerbaijan/1/INDC%20Azerbaijan.pdf</w:t>
        </w:r>
      </w:hyperlink>
      <w:r w:rsidRPr="00010DF7">
        <w:t xml:space="preserve">. </w:t>
      </w:r>
    </w:p>
  </w:footnote>
  <w:footnote w:id="39">
    <w:p w14:paraId="4FF327A7" w14:textId="1F26164D" w:rsidR="004116DF" w:rsidRPr="00010DF7" w:rsidRDefault="004116DF" w:rsidP="00EF31BD">
      <w:pPr>
        <w:pStyle w:val="FootnoteText"/>
      </w:pPr>
      <w:r w:rsidRPr="00010DF7">
        <w:rPr>
          <w:rStyle w:val="FootnoteReference"/>
        </w:rPr>
        <w:footnoteRef/>
      </w:r>
      <w:r w:rsidRPr="00010DF7">
        <w:t xml:space="preserve"> Law of the Republic of Azerbaijan On State Guarantees of Equal Rights for Women and Men, §7.3,  Unofficial trans., </w:t>
      </w:r>
      <w:hyperlink r:id="rId15" w:history="1">
        <w:r w:rsidRPr="00010DF7">
          <w:rPr>
            <w:rStyle w:val="Hyperlink"/>
          </w:rPr>
          <w:t>https://www.ilo.org/wcmsp5/groups/public/---ed_protect/---protrav/---ilo_aids/documents/legaldocument/wcms_127414.pdf</w:t>
        </w:r>
      </w:hyperlink>
      <w:r w:rsidRPr="00010DF7">
        <w:t xml:space="preserve">. </w:t>
      </w:r>
    </w:p>
  </w:footnote>
  <w:footnote w:id="40">
    <w:p w14:paraId="3D32ADE9" w14:textId="77777777" w:rsidR="002B4A84" w:rsidRPr="009043EC" w:rsidRDefault="002B4A84" w:rsidP="002B4A84">
      <w:pPr>
        <w:pStyle w:val="FootnoteText"/>
      </w:pPr>
      <w:r>
        <w:rPr>
          <w:rStyle w:val="FootnoteReference"/>
        </w:rPr>
        <w:footnoteRef/>
      </w:r>
      <w:r>
        <w:t xml:space="preserve"> </w:t>
      </w:r>
      <w:r w:rsidRPr="009043EC">
        <w:t>CEDAW, Concluding observations on the sixth periodic report of Azerbaijan, C/AZE/CO/6 (2022),</w:t>
      </w:r>
      <w:r>
        <w:t xml:space="preserve"> para. 27.</w:t>
      </w:r>
    </w:p>
  </w:footnote>
  <w:footnote w:id="41">
    <w:p w14:paraId="4D0E96B3" w14:textId="16F2FB5E" w:rsidR="004116DF" w:rsidRPr="00010DF7" w:rsidRDefault="004116DF">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{"citationID":"SxFZBo9w","properties":{"formattedCitation":"Arshaluis Mgdesyan, {\\i{}Armenia considers recruiting women as part of military reform}, {\\scaps Eurasianet} (2023), https://eurasianet.org/armenia-considers-recruiting-women-as-part-of-military-reform (last visited Mar 2, 2023).","plainCitation":"Arshaluis Mgdesyan, Armenia considers recruiting women as part of military reform, Eurasianet (2023), https://eurasianet.org/armenia-considers-recruiting-women-as-part-of-military-reform (last visited Mar 2, 2023).","noteIndex":35},"citationItems":[{"id":884,"uris":["http://zotero.org/users/10345638/items/VUVFRLS9"],"itemData":{"id":884,"type":"webpage","abstract":"As part of its military overhaul, Armenia is planning to broaden the role of women in the country's armed forces. But will it address patriarchal stereotypes?","container-title":"Eurasianet","language":"en","title":"Armenia considers recruiting women as part of military reform","URL":"https://eurasianet.org/armenia-considers-recruiting-women-as-part-of-military-reform","author":[{"family":"Mgdesyan","given":"Arshaluis"}],"accessed":{"date-parts":[["2023",3,2]]},"issued":{"date-parts":[["2023",1,23]]}}}],"schema":"https://github.com/citation-style-language/schema/raw/master/csl-citation.json"} </w:instrText>
      </w:r>
      <w:r w:rsidRPr="00010DF7">
        <w:fldChar w:fldCharType="separate"/>
      </w:r>
      <w:r w:rsidR="008350C3" w:rsidRPr="00010DF7">
        <w:rPr>
          <w:rFonts w:cs="Times New Roman"/>
          <w:lang w:val="en-GB"/>
        </w:rPr>
        <w:t xml:space="preserve">Arshaluis Mgdesyan, </w:t>
      </w:r>
      <w:r w:rsidR="008350C3" w:rsidRPr="00010DF7">
        <w:rPr>
          <w:rFonts w:cs="Times New Roman"/>
          <w:i/>
          <w:iCs/>
          <w:lang w:val="en-GB"/>
        </w:rPr>
        <w:t>Armenia considers recruiting women as part of military reform</w:t>
      </w:r>
      <w:r w:rsidR="008350C3" w:rsidRPr="00010DF7">
        <w:rPr>
          <w:rFonts w:cs="Times New Roman"/>
          <w:lang w:val="en-GB"/>
        </w:rPr>
        <w:t xml:space="preserve">, </w:t>
      </w:r>
      <w:r w:rsidR="008350C3" w:rsidRPr="00010DF7">
        <w:rPr>
          <w:rFonts w:cs="Times New Roman"/>
          <w:smallCaps/>
          <w:lang w:val="en-GB"/>
        </w:rPr>
        <w:t>Eurasianet</w:t>
      </w:r>
      <w:r w:rsidR="008350C3" w:rsidRPr="00010DF7">
        <w:rPr>
          <w:rFonts w:cs="Times New Roman"/>
          <w:lang w:val="en-GB"/>
        </w:rPr>
        <w:t xml:space="preserve"> (2023), https://eurasianet.org/armenia-considers-recruiting-women-as-part-of-military-reform (last visited Mar 2, 2023).</w:t>
      </w:r>
      <w:r w:rsidRPr="00010DF7">
        <w:fldChar w:fldCharType="end"/>
      </w:r>
    </w:p>
  </w:footnote>
  <w:footnote w:id="42">
    <w:p w14:paraId="1ADF6F3D" w14:textId="18AA4561" w:rsidR="004116DF" w:rsidRPr="00010DF7" w:rsidRDefault="004116DF" w:rsidP="004E06E3">
      <w:pPr>
        <w:pStyle w:val="FootnoteText"/>
      </w:pPr>
      <w:r w:rsidRPr="00010DF7">
        <w:rPr>
          <w:rStyle w:val="FootnoteReference"/>
        </w:rPr>
        <w:footnoteRef/>
      </w:r>
      <w:r w:rsidRPr="00010DF7">
        <w:t xml:space="preserve"> Nikol Pashinyan, Prime Minister of Azerbaijan, National Assembly: Presentation of the Government Action Plan (Aug. 24, 2021), </w:t>
      </w:r>
      <w:hyperlink r:id="rId16" w:history="1">
        <w:r w:rsidRPr="00010DF7">
          <w:rPr>
            <w:rStyle w:val="Hyperlink"/>
          </w:rPr>
          <w:t>https://www.primeminister.am/en/statements-and-messages/item/2021/08/24/Nikol-Pashinyan-Speech/</w:t>
        </w:r>
      </w:hyperlink>
      <w:r w:rsidRPr="00010DF7">
        <w:t>.</w:t>
      </w:r>
    </w:p>
  </w:footnote>
  <w:footnote w:id="43">
    <w:p w14:paraId="7C3F6562" w14:textId="5D4FAE5E" w:rsidR="004116DF" w:rsidRPr="00010DF7" w:rsidRDefault="004116DF" w:rsidP="00466086">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{"citationID":"QAzVwdJT","properties":{"formattedCitation":"Arshaluis Mgdesyan, {\\i{}Armenia considers recruiting women as part of military reform | Eurasianet}, {\\scaps Eurasianet} (2023), https://eurasianet.org/armenia-considers-recruiting-women-as-part-of-military-reform (last visited Mar 2, 2023).","plainCitation":"Arshaluis Mgdesyan, Armenia considers recruiting women as part of military reform | Eurasianet, Eurasianet (2023), https://eurasianet.org/armenia-considers-recruiting-women-as-part-of-military-reform (last visited Mar 2, 2023).","dontUpdate":true,"noteIndex":37},"citationItems":[{"id":884,"uris":["http://zotero.org/users/10345638/items/VUVFRLS9"],"itemData":{"id":884,"type":"webpage","abstract":"As part of its military overhaul, Armenia is planning to broaden the role of women in the country's armed forces. But will it address patriarchal stereotypes?","container-title":"Eurasianet","language":"en","title":"Armenia considers recruiting women as part of military reform","URL":"https://eurasianet.org/armenia-considers-recruiting-women-as-part-of-military-reform","author":[{"family":"Mgdesyan","given":"Arshaluis"}],"accessed":{"date-parts":[["2023",3,2]]},"issued":{"date-parts":[["2023",1,23]]}}}],"schema":"https://github.com/citation-style-language/schema/raw/master/csl-citation.json"} </w:instrText>
      </w:r>
      <w:r w:rsidRPr="00010DF7">
        <w:fldChar w:fldCharType="separate"/>
      </w:r>
      <w:r w:rsidRPr="00010DF7">
        <w:rPr>
          <w:rFonts w:cs="Times New Roman"/>
          <w:lang w:val="en-GB"/>
        </w:rPr>
        <w:t xml:space="preserve">Arshaluis Mgdesyan, </w:t>
      </w:r>
      <w:r w:rsidRPr="00010DF7">
        <w:rPr>
          <w:rFonts w:cs="Times New Roman"/>
          <w:i/>
          <w:iCs/>
          <w:lang w:val="en-GB"/>
        </w:rPr>
        <w:t>Armenia considers recruiting women as part of military reform</w:t>
      </w:r>
      <w:r w:rsidRPr="00010DF7">
        <w:rPr>
          <w:rFonts w:cs="Times New Roman"/>
          <w:lang w:val="en-GB"/>
        </w:rPr>
        <w:t xml:space="preserve">, </w:t>
      </w:r>
      <w:r w:rsidRPr="00010DF7">
        <w:rPr>
          <w:rFonts w:cs="Times New Roman"/>
          <w:smallCaps/>
          <w:lang w:val="en-GB"/>
        </w:rPr>
        <w:t>Eurasianet</w:t>
      </w:r>
      <w:r w:rsidRPr="00010DF7">
        <w:rPr>
          <w:rFonts w:cs="Times New Roman"/>
          <w:lang w:val="en-GB"/>
        </w:rPr>
        <w:t xml:space="preserve"> (2023), https://eurasianet.org/armenia-considers-recruiting-women-as-part-of-military-reform (last visited Mar 2, 2023).</w:t>
      </w:r>
      <w:r w:rsidRPr="00010DF7">
        <w:fldChar w:fldCharType="end"/>
      </w:r>
    </w:p>
  </w:footnote>
  <w:footnote w:id="44">
    <w:p w14:paraId="38F67AE9" w14:textId="77777777" w:rsidR="004116DF" w:rsidRPr="00010DF7" w:rsidRDefault="004116DF" w:rsidP="00E35B59">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45">
    <w:p w14:paraId="36849752" w14:textId="5603DCBC" w:rsidR="004116DF" w:rsidRPr="00010DF7" w:rsidRDefault="004116DF">
      <w:pPr>
        <w:pStyle w:val="FootnoteText"/>
      </w:pPr>
      <w:r w:rsidRPr="00010DF7">
        <w:rPr>
          <w:rStyle w:val="FootnoteReference"/>
        </w:rPr>
        <w:footnoteRef/>
      </w:r>
      <w:r w:rsidRPr="00010DF7">
        <w:t xml:space="preserve"> Law of the Republic of Azerbaijan On State Guarantees of Equal Rights for Women and Men, §3,  Unofficial trans., </w:t>
      </w:r>
      <w:hyperlink r:id="rId17" w:history="1">
        <w:r w:rsidRPr="00010DF7">
          <w:rPr>
            <w:rStyle w:val="Hyperlink"/>
          </w:rPr>
          <w:t>https://www.ilo.org/wcmsp5/groups/public/---ed_protect/---protrav/---ilo_aids/documents/legaldocument/wcms_127414.pdf</w:t>
        </w:r>
      </w:hyperlink>
      <w:r w:rsidRPr="00010DF7">
        <w:t xml:space="preserve">. </w:t>
      </w:r>
    </w:p>
  </w:footnote>
  <w:footnote w:id="46">
    <w:p w14:paraId="7A060C46" w14:textId="4509493B" w:rsidR="004116DF" w:rsidRPr="00010DF7" w:rsidRDefault="004116DF">
      <w:pPr>
        <w:pStyle w:val="FootnoteText"/>
      </w:pPr>
      <w:r w:rsidRPr="00010DF7">
        <w:rPr>
          <w:rStyle w:val="FootnoteReference"/>
        </w:rPr>
        <w:footnoteRef/>
      </w:r>
      <w:r w:rsidRPr="00010DF7">
        <w:rPr>
          <w:i/>
          <w:iCs/>
        </w:rPr>
        <w:t xml:space="preserve"> Draft National Action Plan in the Implementation in the Republic of Azerbaijan of United Nations Security Council Resolution 1325 on Women, Peace and Security in 2020-2023</w:t>
      </w:r>
      <w:r w:rsidRPr="00010DF7">
        <w:t xml:space="preserve">, </w:t>
      </w:r>
      <w:r w:rsidRPr="00010DF7">
        <w:rPr>
          <w:rFonts w:cs="Times New Roman"/>
          <w:smallCaps/>
          <w:lang w:val="en-GB"/>
        </w:rPr>
        <w:t>Women’s International League for Peace and Freedom - 1325 NAPs Project</w:t>
      </w:r>
      <w:r w:rsidRPr="00010DF7">
        <w:rPr>
          <w:rFonts w:cs="Times New Roman"/>
          <w:lang w:val="en-GB"/>
        </w:rPr>
        <w:t xml:space="preserve">, </w:t>
      </w:r>
      <w:hyperlink r:id="rId18" w:history="1">
        <w:r w:rsidRPr="00010DF7">
          <w:rPr>
            <w:rStyle w:val="Hyperlink"/>
            <w:rFonts w:cs="Times New Roman"/>
            <w:lang w:val="en-GB"/>
          </w:rPr>
          <w:t>http://1325naps.peacewomen.org/wp-content/uploads/2021/07/Azerbaijan-2020-2023.pdf</w:t>
        </w:r>
      </w:hyperlink>
      <w:r w:rsidRPr="00010DF7">
        <w:rPr>
          <w:rFonts w:cs="Times New Roman"/>
          <w:lang w:val="en-GB"/>
        </w:rPr>
        <w:t xml:space="preserve">. </w:t>
      </w:r>
    </w:p>
  </w:footnote>
  <w:footnote w:id="47">
    <w:p w14:paraId="37247AF2" w14:textId="1DB2625C" w:rsidR="00B55118" w:rsidRPr="00010DF7" w:rsidRDefault="00B55118">
      <w:pPr>
        <w:pStyle w:val="FootnoteText"/>
      </w:pPr>
      <w:r w:rsidRPr="00010DF7">
        <w:rPr>
          <w:rStyle w:val="FootnoteReference"/>
        </w:rPr>
        <w:footnoteRef/>
      </w:r>
      <w:r w:rsidRPr="00010DF7">
        <w:t xml:space="preserve"> </w:t>
      </w:r>
      <w:r w:rsidR="00BE4FFB" w:rsidRPr="00010DF7">
        <w:rPr>
          <w:i/>
          <w:iCs/>
        </w:rPr>
        <w:t>Nationally Determined Contribution of the Republic of Belarus to the reduction of greenhouse gas emissions until 2030</w:t>
      </w:r>
      <w:r w:rsidR="00BE4FFB" w:rsidRPr="00010DF7">
        <w:t xml:space="preserve">, UNFCCC, </w:t>
      </w:r>
      <w:r w:rsidR="00BE4FFB" w:rsidRPr="00DA2885">
        <w:t>https://unfccc.int/sites/default/files/NDC/2022-06/Belarus_NDC_English.pdf</w:t>
      </w:r>
      <w:r w:rsidR="00BE4FFB" w:rsidRPr="00010DF7">
        <w:t>.</w:t>
      </w:r>
    </w:p>
  </w:footnote>
  <w:footnote w:id="48">
    <w:p w14:paraId="0763277C" w14:textId="416B246D" w:rsidR="00C12B68" w:rsidRPr="00C12B68" w:rsidRDefault="00C12B68">
      <w:pPr>
        <w:pStyle w:val="FootnoteText"/>
      </w:pPr>
      <w:r>
        <w:rPr>
          <w:rStyle w:val="FootnoteReference"/>
        </w:rPr>
        <w:footnoteRef/>
      </w:r>
      <w:r>
        <w:t xml:space="preserve"> </w:t>
      </w:r>
      <w:r w:rsidR="00DA2885" w:rsidRPr="00DA2885">
        <w:t xml:space="preserve">Belarus Country Gender Equality Brief, </w:t>
      </w:r>
      <w:r w:rsidR="00DA2885" w:rsidRPr="00DA2885">
        <w:rPr>
          <w:smallCaps/>
        </w:rPr>
        <w:t>UN Women</w:t>
      </w:r>
      <w:r w:rsidR="00DA2885">
        <w:t xml:space="preserve"> (2022)</w:t>
      </w:r>
      <w:r w:rsidR="00DA2885" w:rsidRPr="00DA2885">
        <w:t>, https://euneighbourseast.eu/wp-content/uploads/2022/02/belarus-country-gender-equality-brief.pdf</w:t>
      </w:r>
      <w:r w:rsidR="00DA2885">
        <w:t>.</w:t>
      </w:r>
    </w:p>
  </w:footnote>
  <w:footnote w:id="49">
    <w:p w14:paraId="17DB8A30" w14:textId="77777777"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50">
    <w:p w14:paraId="4CD879D4" w14:textId="77777777" w:rsidR="00BF5554" w:rsidRPr="00010DF7" w:rsidRDefault="00BF5554" w:rsidP="00BF5554">
      <w:pPr>
        <w:pStyle w:val="FootnoteText"/>
      </w:pPr>
      <w:r w:rsidRPr="00010DF7">
        <w:rPr>
          <w:rStyle w:val="FootnoteReference"/>
        </w:rPr>
        <w:footnoteRef/>
      </w:r>
      <w:r w:rsidRPr="00010DF7">
        <w:t xml:space="preserve"> </w:t>
      </w:r>
      <w:r w:rsidRPr="00010DF7">
        <w:fldChar w:fldCharType="begin"/>
      </w:r>
      <w:r w:rsidRPr="00010DF7">
        <w:instrText xml:space="preserve"> ADDIN ZOTERO_ITEM CSL_CITATION {"citationID":"acsqkln6d8","properties":{"formattedCitation":"{\\i{}Id.}","plainCitation":"Id.","dontUpdate":true,"noteIndex":69},"citationItems":[{"id":564,"uris":["http://zotero.org/users/10345638/items/FDAS9TYC"],"itemData":{"id":564,"type":"report","collection-title":"European Equality Law Network","event-place":"Luxembourg: Publications Office of the European Union","license":"European union","publisher":"EU Commission. Directorate-General for Justice and Consumers.","publisher-place":"Luxembourg: Publications Office of the European Union","title":"Belgium - Country Report Gender Equality 2022","URL":"https://www.equalitylaw.eu/downloads/5660-belgium-country-report-gender-equality-2022-1-48-mb","author":[{"family":"Wuiame","given":"Nathalie"}],"accessed":{"date-parts":[["2023",2,6]]},"issued":{"date-parts":[["2022"]]}}}],"schema":"https://github.com/citation-style-language/schema/raw/master/csl-citation.json"} </w:instrText>
      </w:r>
      <w:r w:rsidRPr="00010DF7">
        <w:fldChar w:fldCharType="separate"/>
      </w:r>
      <w:r w:rsidRPr="00010DF7">
        <w:rPr>
          <w:rFonts w:cs="Times New Roman"/>
        </w:rPr>
        <w:t xml:space="preserve"> </w:t>
      </w:r>
      <w:r w:rsidRPr="00010DF7">
        <w:fldChar w:fldCharType="begin"/>
      </w:r>
      <w:r w:rsidRPr="00010DF7">
        <w:instrText xml:space="preserve"> ADDIN ZOTERO_ITEM CSL_CITATION {"citationID":"a2775dbhu01","properties":{"formattedCitation":"{\\scaps Nathalie Wuiame}, {\\i{}Belgium - Country Report Gender Equality 2022}, (2022), https://www.equalitylaw.eu/downloads/5660-belgium-country-report-gender-equality-2022-1-48-mb (last visited Feb 6, 2023).","plainCitation":"Nathalie Wuiame, Belgium - Country Report Gender Equality 2022, (2022), https://www.equalitylaw.eu/downloads/5660-belgium-country-report-gender-equality-2022-1-48-mb (last visited Feb 6, 2023).","dontUpdate":true,"noteIndex":69},"citationItems":[{"id":564,"uris":["http://zotero.org/users/10345638/items/FDAS9TYC"],"itemData":{"id":564,"type":"report","collection-title":"European Equality Law Network","event-place":"Luxembourg: Publications Office of the European Union","license":"European union","publisher":"EU Commission. Directorate-General for Justice and Consumers.","publisher-place":"Luxembourg: Publications Office of the European Union","title":"Belgium - Country Report Gender Equality 2022","URL":"https://www.equalitylaw.eu/downloads/5660-belgium-country-report-gender-equality-2022-1-48-mb","author":[{"family":"Wuiame","given":"Nathalie"}],"accessed":{"date-parts":[["2023",2,6]]},"issued":{"date-parts":[["2022"]]}}}],"schema":"https://github.com/citation-style-language/schema/raw/master/csl-citation.json"} </w:instrText>
      </w:r>
      <w:r w:rsidRPr="00010DF7">
        <w:fldChar w:fldCharType="separate"/>
      </w:r>
      <w:r w:rsidRPr="00010DF7">
        <w:rPr>
          <w:rFonts w:cs="Times New Roman"/>
          <w:smallCaps/>
          <w:lang w:val="en-GB"/>
        </w:rPr>
        <w:t>Nathalie Wuiame</w:t>
      </w:r>
      <w:r w:rsidRPr="00010DF7">
        <w:rPr>
          <w:rFonts w:cs="Times New Roman"/>
          <w:lang w:val="en-GB"/>
        </w:rPr>
        <w:t xml:space="preserve">, </w:t>
      </w:r>
      <w:r w:rsidRPr="00010DF7">
        <w:rPr>
          <w:rFonts w:cs="Times New Roman"/>
          <w:i/>
          <w:iCs/>
          <w:lang w:val="en-GB"/>
        </w:rPr>
        <w:t>Belgium - Country Report Gender Equality 2022</w:t>
      </w:r>
      <w:r w:rsidRPr="00010DF7">
        <w:rPr>
          <w:rFonts w:cs="Times New Roman"/>
          <w:lang w:val="en-GB"/>
        </w:rPr>
        <w:t xml:space="preserve"> 17 (2022), https://www.equalitylaw.eu/downloads/5660-belgium-country-report-gender-equality-2022-1-48-mb (last visited Feb 6, 2023)</w:t>
      </w:r>
      <w:r w:rsidRPr="00010DF7">
        <w:fldChar w:fldCharType="end"/>
      </w:r>
      <w:r w:rsidRPr="00010DF7">
        <w:rPr>
          <w:rFonts w:cs="Times New Roman"/>
          <w:i/>
          <w:iCs/>
          <w:lang w:val="en-GB"/>
        </w:rPr>
        <w:t>.</w:t>
      </w:r>
      <w:r w:rsidRPr="00010DF7">
        <w:fldChar w:fldCharType="end"/>
      </w:r>
    </w:p>
  </w:footnote>
  <w:footnote w:id="51">
    <w:p w14:paraId="4714B3CC" w14:textId="7F9C9FCF" w:rsidR="001726AB" w:rsidRPr="00010DF7" w:rsidRDefault="001726AB" w:rsidP="00252986">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{"citationID":"PCdr2fjf","properties":{"formattedCitation":"04. Anti-Discrimination Laws, {\\scaps L&amp;E Global}, https://leglobal.law/countries/belgium/employment-law/employment-law-overview-belgium/04-anti-discrimination-laws/ (last visited Mar 2, 2023).","plainCitation":"04. Anti-Discrimination Laws, L&amp;E Global, https://leglobal.law/countries/belgium/employment-law/employment-law-overview-belgium/04-anti-discrimination-laws/ (last visited Mar 2, 2023).","dontUpdate":true,"noteIndex":43},"citationItems":[{"id":888,"uris":["http://zotero.org/users/10345638/items/TRMELFGG"],"itemData":{"id":888,"type":"webpage","abstract":"An Alliance of Employers' Counsel Worldwide","container-title":"L&amp;E Global","language":"en-GB","title":"04. Anti-Discrimination Laws","URL":"https://leglobal.law/countries/belgium/employment-law/employment-law-overview-belgium/04-anti-discrimination-laws/","accessed":{"date-parts":[["2023",3,2]]}}}],"schema":"https://github.com/citation-style-language/schema/raw/master/csl-citation.json"} </w:instrText>
      </w:r>
      <w:r w:rsidRPr="00010DF7">
        <w:fldChar w:fldCharType="separate"/>
      </w:r>
      <w:r w:rsidRPr="00010DF7">
        <w:rPr>
          <w:rFonts w:cs="Times New Roman"/>
          <w:lang w:val="en-GB"/>
        </w:rPr>
        <w:t xml:space="preserve">04. Anti-Discrimination Laws, </w:t>
      </w:r>
      <w:r w:rsidRPr="00010DF7">
        <w:rPr>
          <w:rFonts w:cs="Times New Roman"/>
          <w:smallCaps/>
          <w:lang w:val="en-GB"/>
        </w:rPr>
        <w:t>L&amp;E Global</w:t>
      </w:r>
      <w:r w:rsidRPr="00010DF7">
        <w:rPr>
          <w:rFonts w:cs="Times New Roman"/>
          <w:lang w:val="en-GB"/>
        </w:rPr>
        <w:t>, https://leglobal.law/countries/belgium/employment-law/employment-law-overview-belgium/04-anti-discrimination-laws/ (last visited Mar 2, 2023)</w:t>
      </w:r>
      <w:r w:rsidRPr="00010DF7">
        <w:fldChar w:fldCharType="end"/>
      </w:r>
      <w:r w:rsidR="00252986" w:rsidRPr="00010DF7">
        <w:t xml:space="preserve">; </w:t>
      </w:r>
      <w:r w:rsidR="00252986" w:rsidRPr="00010DF7">
        <w:fldChar w:fldCharType="begin"/>
      </w:r>
      <w:r w:rsidR="00AD6653" w:rsidRPr="00010DF7">
        <w:instrText xml:space="preserve"> ADDIN ZOTERO_ITEM CSL_CITATION {"citationID":"auY8FJ6u","properties":{"formattedCitation":"Angela Broux, {\\i{}Law \\uc0\\u224{} la Mode \\uc0\\u8212{} Belgium: Diversity in the workplace and legal compliance}, (2021), https://s3.amazonaws.com/documents.lexology.com/0dd3a540-768b-42bc-b6ff-23d877fc1742.pdf?AWSAccessKeyId=AKIAVYILUYJ754JTDY6T&amp;Expires=1677757420&amp;Signature=FYK9ccWLt56W57NAjY5rmidoz1s%3D.","plainCitation":"Angela Broux, Law à la Mode — Belgium: Diversity in the workplace and legal compliance, (2021), https://s3.amazonaws.com/documents.lexology.com/0dd3a540-768b-42bc-b6ff-23d877fc1742.pdf?AWSAccessKeyId=AKIAVYILUYJ754JTDY6T&amp;Expires=1677757420&amp;Signature=FYK9ccWLt56W57NAjY5rmidoz1s%3D.","dontUpdate":true,"noteIndex":43},"citationItems":[{"id":887,"uris":["http://zotero.org/users/10345638/items/AV2P8CYQ"],"itemData":{"id":887,"type":"post-weblog","genre":"DLA Piper","title":"Law à la Mode — Belgium: Diversity in the workplace and legal compliance","URL":"https://s3.amazonaws.com/documents.lexology.com/0dd3a540-768b-42bc-b6ff-23d877fc1742.pdf?AWSAccessKeyId=AKIAVYILUYJ754JTDY6T&amp;Expires=1677757420&amp;Signature=FYK9ccWLt56W57NAjY5rmidoz1s%3D","author":[{"family":"Broux","given":"Angela"}],"issued":{"date-parts":[["2021",8,6]]}}}],"schema":"https://github.com/citation-style-language/schema/raw/master/csl-citation.json"} </w:instrText>
      </w:r>
      <w:r w:rsidR="00252986" w:rsidRPr="00010DF7">
        <w:fldChar w:fldCharType="separate"/>
      </w:r>
      <w:r w:rsidR="00252986" w:rsidRPr="00010DF7">
        <w:rPr>
          <w:rFonts w:cs="Times New Roman"/>
          <w:lang w:val="en-GB"/>
        </w:rPr>
        <w:t xml:space="preserve">Angela Broux, </w:t>
      </w:r>
      <w:r w:rsidR="00252986" w:rsidRPr="00010DF7">
        <w:rPr>
          <w:rFonts w:cs="Times New Roman"/>
          <w:i/>
          <w:iCs/>
          <w:lang w:val="en-GB"/>
        </w:rPr>
        <w:t>Law à la Mode — Belgium: Diversity in the workplace and legal compliance</w:t>
      </w:r>
      <w:r w:rsidR="00252986" w:rsidRPr="00010DF7">
        <w:rPr>
          <w:rFonts w:cs="Times New Roman"/>
          <w:lang w:val="en-GB"/>
        </w:rPr>
        <w:t>, (2021), https://s3.amazonaws.com/documents.lexology.com/0dd3a540-768b-42bc-b6ff-23d877fc1742.pdf?AWSAccessKeyId=AKIAVYILUYJ754JTDY6T&amp;Expires=1677757420&amp;Signature=FYK9ccWLt56W57NAjY5rmidoz1s%3D</w:t>
      </w:r>
      <w:r w:rsidR="00252986" w:rsidRPr="00010DF7">
        <w:fldChar w:fldCharType="end"/>
      </w:r>
      <w:r w:rsidR="00252986" w:rsidRPr="00010DF7">
        <w:t>.</w:t>
      </w:r>
    </w:p>
  </w:footnote>
  <w:footnote w:id="52">
    <w:p w14:paraId="7F53F4B2" w14:textId="5ACD2161" w:rsidR="008350C3" w:rsidRPr="00010DF7" w:rsidRDefault="008350C3">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{"citationID":"qazzNS83","properties":{"formattedCitation":"Lauren Walker, {\\i{}Belgium ranks poorly for number of female ambassadors}, {\\scaps The Brussels Times}, Nov. 5, 2021, https://www.brusselstimes.com/192347/belgium-is-european-country-with-fewest-female-ambassadors (last visited Feb 24, 2023).","plainCitation":"Lauren Walker, Belgium ranks poorly for number of female ambassadors, The Brussels Times, Nov. 5, 2021, https://www.brusselstimes.com/192347/belgium-is-european-country-with-fewest-female-ambassadors (last visited Feb 24, 2023).","noteIndex":44},"citationItems":[{"id":772,"uris":["http://zotero.org/users/10345638/items/3SKWBAGY"],"itemData":{"id":772,"type":"article-newspaper","abstract":"Belgium has the lowest number of ambassadors who are women, as just 11% of its diplomatic corps was female in 2020, according to a recent analysis.","container-title":"The Brussels Times","language":"en","title":"Belgium ranks poorly for number of female ambassadors","URL":"https://www.brusselstimes.com/192347/belgium-is-european-country-with-fewest-female-ambassadors","author":[{"family":"Walker","given":"Lauren"}],"accessed":{"date-parts":[["2023",2,24]]},"issued":{"date-parts":[["2021",11,5]]}}}],"schema":"https://github.com/citation-style-language/schema/raw/master/csl-citation.json"} </w:instrText>
      </w:r>
      <w:r w:rsidRPr="00010DF7">
        <w:fldChar w:fldCharType="separate"/>
      </w:r>
      <w:r w:rsidRPr="00010DF7">
        <w:rPr>
          <w:rFonts w:cs="Times New Roman"/>
          <w:lang w:val="en-GB"/>
        </w:rPr>
        <w:t xml:space="preserve">Lauren Walker, </w:t>
      </w:r>
      <w:r w:rsidRPr="00010DF7">
        <w:rPr>
          <w:rFonts w:cs="Times New Roman"/>
          <w:i/>
          <w:iCs/>
          <w:lang w:val="en-GB"/>
        </w:rPr>
        <w:t>Belgium ranks poorly for number of female ambassadors</w:t>
      </w:r>
      <w:r w:rsidRPr="00010DF7">
        <w:rPr>
          <w:rFonts w:cs="Times New Roman"/>
          <w:lang w:val="en-GB"/>
        </w:rPr>
        <w:t xml:space="preserve">, </w:t>
      </w:r>
      <w:r w:rsidRPr="00010DF7">
        <w:rPr>
          <w:rFonts w:cs="Times New Roman"/>
          <w:smallCaps/>
          <w:lang w:val="en-GB"/>
        </w:rPr>
        <w:t>The Brussels Times</w:t>
      </w:r>
      <w:r w:rsidRPr="00010DF7">
        <w:rPr>
          <w:rFonts w:cs="Times New Roman"/>
          <w:lang w:val="en-GB"/>
        </w:rPr>
        <w:t>, Nov. 5, 2021, https://www.brusselstimes.com/192347/belgium-is-european-country-with-fewest-female-ambassadors (last visited Feb 24, 2023).</w:t>
      </w:r>
      <w:r w:rsidRPr="00010DF7">
        <w:fldChar w:fldCharType="end"/>
      </w:r>
    </w:p>
  </w:footnote>
  <w:footnote w:id="53">
    <w:p w14:paraId="3EC06C99" w14:textId="77777777" w:rsidR="009314FE" w:rsidRPr="009043EC" w:rsidRDefault="009314FE" w:rsidP="009314FE">
      <w:pPr>
        <w:pStyle w:val="FootnoteText"/>
      </w:pPr>
      <w:r>
        <w:rPr>
          <w:rStyle w:val="FootnoteReference"/>
        </w:rPr>
        <w:footnoteRef/>
      </w:r>
      <w:r>
        <w:t xml:space="preserve"> </w:t>
      </w:r>
      <w:r w:rsidRPr="009043EC">
        <w:t>CEDAW, Concluding observations on the eighth periodic report of Belgium, C/BEL/CO/8 (2022), para</w:t>
      </w:r>
      <w:r>
        <w:t xml:space="preserve">s. 37-38. </w:t>
      </w:r>
    </w:p>
  </w:footnote>
  <w:footnote w:id="54">
    <w:p w14:paraId="280DD240" w14:textId="753B4424" w:rsidR="004B2C0C" w:rsidRPr="00010DF7" w:rsidRDefault="004B2C0C" w:rsidP="004B2C0C">
      <w:pPr>
        <w:pStyle w:val="FootnoteText"/>
      </w:pPr>
      <w:r w:rsidRPr="00010DF7">
        <w:rPr>
          <w:rStyle w:val="FootnoteReference"/>
        </w:rPr>
        <w:footnoteRef/>
      </w:r>
      <w:r w:rsidRPr="00010DF7">
        <w:t xml:space="preserve"> </w:t>
      </w:r>
      <w:r w:rsidRPr="00010DF7">
        <w:rPr>
          <w:smallCaps/>
        </w:rPr>
        <w:t>North Atlantic Treaty Organization</w:t>
      </w:r>
      <w:r w:rsidRPr="00010DF7">
        <w:t xml:space="preserve">, </w:t>
      </w:r>
      <w:r w:rsidR="00444015" w:rsidRPr="00010DF7">
        <w:rPr>
          <w:i/>
          <w:iCs/>
        </w:rPr>
        <w:t>Summary of the National Reports of NATO Member and Partner Nations to the NATO Committee on Gender Perspectives. Full Report</w:t>
      </w:r>
      <w:r w:rsidR="00444015" w:rsidRPr="00010DF7">
        <w:t>,</w:t>
      </w:r>
      <w:r w:rsidR="00444015" w:rsidRPr="00010DF7">
        <w:rPr>
          <w:i/>
          <w:iCs/>
        </w:rPr>
        <w:t xml:space="preserve"> </w:t>
      </w:r>
      <w:r w:rsidR="00444015" w:rsidRPr="00010DF7">
        <w:t>2019</w:t>
      </w:r>
      <w:r w:rsidRPr="00010DF7">
        <w:t xml:space="preserve">, </w:t>
      </w:r>
      <w:hyperlink r:id="rId19" w:anchor="page=153" w:history="1">
        <w:r w:rsidR="00444015" w:rsidRPr="00010DF7">
          <w:rPr>
            <w:rStyle w:val="Hyperlink"/>
          </w:rPr>
          <w:t>https://www.nato.int/nato_static_fl2014/assets/pdf/2021/9/pdf/NCGP_Full_Report_2019.pdf#page=153</w:t>
        </w:r>
      </w:hyperlink>
      <w:r w:rsidR="00444015" w:rsidRPr="00010DF7">
        <w:t xml:space="preserve">. </w:t>
      </w:r>
    </w:p>
  </w:footnote>
  <w:footnote w:id="55">
    <w:p w14:paraId="12C4CF45" w14:textId="0A3503A8" w:rsidR="00220FBE" w:rsidRPr="00010DF7" w:rsidRDefault="00220FBE" w:rsidP="00220FBE">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{"citationID":"b1SqdS2t","properties":{"formattedCitation":"Hungary - Women, Peace, Security, https://www.globalwps.org/details/HUN (last visited Mar 13, 2023).","plainCitation":"Hungary - Women, Peace, Security, https://www.globalwps.org/details/HUN (last visited Mar 13, 2023).","dontUpdate":true,"noteIndex":46},"citationItems":[{"id":946,"uris":["http://zotero.org/users/10345638/items/EKXJ9478"],"itemData":{"id":946,"type":"webpage","title":"Hungary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Belgium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https://www.globalwps.org/details/BEL (last visited Mar 13, 2023).</w:t>
      </w:r>
      <w:r w:rsidRPr="00010DF7">
        <w:fldChar w:fldCharType="end"/>
      </w:r>
    </w:p>
  </w:footnote>
  <w:footnote w:id="56">
    <w:p w14:paraId="2CE73DA0" w14:textId="38A999D6" w:rsidR="00034A8C" w:rsidRPr="00010DF7" w:rsidRDefault="00034A8C" w:rsidP="00034A8C">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{"citationID":"1OH6GeyG","properties":{"formattedCitation":"Hungary - Women, Peace, Security, https://www.globalwps.org/details/HUN (last visited Mar 13, 2023).","plainCitation":"Hungary - Women, Peace, Security, https://www.globalwps.org/details/HUN (last visited Mar 13, 2023).","dontUpdate":true,"noteIndex":47},"citationItems":[{"id":946,"uris":["http://zotero.org/users/10345638/items/EKXJ9478"],"itemData":{"id":946,"type":"webpage","title":"Hungary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Belgium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https://www.globalwps.org/details/BEL (last visited Mar 13, 2023).</w:t>
      </w:r>
      <w:r w:rsidRPr="00010DF7">
        <w:fldChar w:fldCharType="end"/>
      </w:r>
    </w:p>
  </w:footnote>
  <w:footnote w:id="57">
    <w:p w14:paraId="35479B8C" w14:textId="29C2EC68" w:rsidR="004B2C0C" w:rsidRPr="00010DF7" w:rsidRDefault="004B2C0C" w:rsidP="004B2C0C">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{"citationID":"bTF3OIJt","properties":{"formattedCitation":"Hungary - Women, Peace, Security, https://www.globalwps.org/details/HUN (last visited Mar 13, 2023).","plainCitation":"Hungary - Women, Peace, Security, https://www.globalwps.org/details/HUN (last visited Mar 13, 2023).","dontUpdate":true,"noteIndex":48},"citationItems":[{"id":946,"uris":["http://zotero.org/users/10345638/items/EKXJ9478"],"itemData":{"id":946,"type":"webpage","title":"Hungary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Belgium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https://www.globalwps.org/details/BEL (last visited Mar 13, 2023).</w:t>
      </w:r>
      <w:r w:rsidRPr="00010DF7">
        <w:fldChar w:fldCharType="end"/>
      </w:r>
    </w:p>
  </w:footnote>
  <w:footnote w:id="58">
    <w:p w14:paraId="3E4C6DCE" w14:textId="4D3D78D4" w:rsidR="00C22ACA" w:rsidRPr="00010DF7" w:rsidRDefault="00C22ACA" w:rsidP="00C22ACA">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{"citationID":"qL4Szahw","properties":{"formattedCitation":"Ma\\uc0\\u239{}th\\uc0\\u233{} Chini, {\\i{}Different camo, fit for women: what Belgium\\uc0\\u8217{}s military\\uc0\\u8217{}s new uniform looks like}, {\\scaps The Brussels Times}, Apr. 3, 2022, https://www.brusselstimes.com/214703/different-camo-pattern-and-fit-for-women-what-belgiums-militarys-new-uniform-looks-like (last visited Mar 13, 2023).","plainCitation":"Maïthé Chini, Different camo, fit for women: what Belgium’s military’s new uniform looks like, The Brussels Times, Apr. 3, 2022, https://www.brusselstimes.com/214703/different-camo-pattern-and-fit-for-women-what-belgiums-militarys-new-uniform-looks-like (last visited Mar 13, 2023).","noteIndex":49},"citationItems":[{"id":950,"uris":["http://zotero.org/users/10345638/items/RNJT25B6"],"itemData":{"id":950,"type":"article-newspaper","abstract":"Some 25,000 Belgian military personnel will receive a new uniform with a different camouflage pattern, and – for the first time – also a model for women.","container-title":"The Brussels Times","language":"en","title":"Different camo, fit for women: what Belgium's military's new uniform looks like","title-short":"Different camo, fit for women","URL":"https://www.brusselstimes.com/214703/different-camo-pattern-and-fit-for-women-what-belgiums-militarys-new-uniform-looks-like","author":[{"family":"Chini","given":"Maïthé"}],"accessed":{"date-parts":[["2023",3,13]]},"issued":{"date-parts":[["2022",4,3]]}}}],"schema":"https://github.com/citation-style-language/schema/raw/master/csl-citation.json"} </w:instrText>
      </w:r>
      <w:r w:rsidRPr="00010DF7">
        <w:fldChar w:fldCharType="separate"/>
      </w:r>
      <w:r w:rsidR="00AD6653" w:rsidRPr="00010DF7">
        <w:rPr>
          <w:rFonts w:cs="Times New Roman"/>
          <w:lang w:val="en-GB"/>
        </w:rPr>
        <w:t xml:space="preserve">Maïthé Chini, </w:t>
      </w:r>
      <w:r w:rsidR="00AD6653" w:rsidRPr="00010DF7">
        <w:rPr>
          <w:rFonts w:cs="Times New Roman"/>
          <w:i/>
          <w:iCs/>
          <w:lang w:val="en-GB"/>
        </w:rPr>
        <w:t>Different camo, fit for women: what Belgium’s military’s new uniform looks like</w:t>
      </w:r>
      <w:r w:rsidR="00AD6653" w:rsidRPr="00010DF7">
        <w:rPr>
          <w:rFonts w:cs="Times New Roman"/>
          <w:lang w:val="en-GB"/>
        </w:rPr>
        <w:t xml:space="preserve">, </w:t>
      </w:r>
      <w:r w:rsidR="00AD6653" w:rsidRPr="00010DF7">
        <w:rPr>
          <w:rFonts w:cs="Times New Roman"/>
          <w:smallCaps/>
          <w:lang w:val="en-GB"/>
        </w:rPr>
        <w:t>The Brussels Times</w:t>
      </w:r>
      <w:r w:rsidR="00AD6653" w:rsidRPr="00010DF7">
        <w:rPr>
          <w:rFonts w:cs="Times New Roman"/>
          <w:lang w:val="en-GB"/>
        </w:rPr>
        <w:t>, Apr. 3, 2022, https://www.brusselstimes.com/214703/different-camo-pattern-and-fit-for-women-what-belgiums-militarys-new-uniform-looks-like (last visited Mar 13, 2023).</w:t>
      </w:r>
      <w:r w:rsidRPr="00010DF7">
        <w:fldChar w:fldCharType="end"/>
      </w:r>
    </w:p>
  </w:footnote>
  <w:footnote w:id="59">
    <w:p w14:paraId="2F9681BC" w14:textId="77777777"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60">
    <w:p w14:paraId="779A6F36" w14:textId="62E9F8A9" w:rsidR="006B1332" w:rsidRPr="00010DF7" w:rsidRDefault="006B1332" w:rsidP="00D4496A">
      <w:pPr>
        <w:pStyle w:val="FootnoteText"/>
      </w:pPr>
      <w:r w:rsidRPr="00010DF7">
        <w:rPr>
          <w:rStyle w:val="FootnoteReference"/>
        </w:rPr>
        <w:footnoteRef/>
      </w:r>
      <w:r w:rsidRPr="00010DF7">
        <w:t xml:space="preserve"> </w:t>
      </w:r>
      <w:r w:rsidR="005D3E8A" w:rsidRPr="00010DF7">
        <w:t xml:space="preserve">Kingdom of Belgium, Third National Action Plan: "Women, Peace, Security" (2017-2021), </w:t>
      </w:r>
      <w:r w:rsidR="005D3E8A" w:rsidRPr="00010DF7">
        <w:rPr>
          <w:rFonts w:cs="Times New Roman"/>
          <w:smallCaps/>
          <w:lang w:val="en-GB"/>
        </w:rPr>
        <w:t>Women’s International League for Peace and Freedom - 1325 NAPs Project</w:t>
      </w:r>
      <w:r w:rsidR="005D3E8A" w:rsidRPr="00010DF7">
        <w:rPr>
          <w:rFonts w:cs="Times New Roman"/>
          <w:lang w:val="en-GB"/>
        </w:rPr>
        <w:t>,</w:t>
      </w:r>
      <w:r w:rsidR="00D4496A" w:rsidRPr="00010DF7">
        <w:rPr>
          <w:rFonts w:cs="Times New Roman"/>
          <w:lang w:val="en-GB"/>
        </w:rPr>
        <w:t xml:space="preserve"> </w:t>
      </w:r>
      <w:r w:rsidR="005D3E8A" w:rsidRPr="00010DF7">
        <w:t>Unofficial trans</w:t>
      </w:r>
      <w:r w:rsidR="00D4496A" w:rsidRPr="00010DF7">
        <w:t>.</w:t>
      </w:r>
      <w:r w:rsidR="005D3E8A" w:rsidRPr="00010DF7">
        <w:t>, funded by ARC DP160100212 (CI Shepherd)</w:t>
      </w:r>
      <w:r w:rsidR="00D4496A" w:rsidRPr="00010DF7">
        <w:t xml:space="preserve">, 2021, </w:t>
      </w:r>
      <w:hyperlink r:id="rId20" w:history="1">
        <w:r w:rsidR="00D4496A" w:rsidRPr="00010DF7">
          <w:rPr>
            <w:rStyle w:val="Hyperlink"/>
          </w:rPr>
          <w:t>https://www.wpsnaps.org/app/uploads/2019/09/Belgium-NAP-3-2017-2021-English-translation-DP160100212.pdf</w:t>
        </w:r>
      </w:hyperlink>
      <w:r w:rsidR="00D4496A" w:rsidRPr="00010DF7">
        <w:t>.</w:t>
      </w:r>
    </w:p>
  </w:footnote>
  <w:footnote w:id="61">
    <w:p w14:paraId="5F194B5C" w14:textId="108BB934" w:rsidR="00253BA0" w:rsidRPr="00010DF7" w:rsidRDefault="00253BA0">
      <w:pPr>
        <w:pStyle w:val="FootnoteText"/>
      </w:pPr>
      <w:r w:rsidRPr="00010DF7">
        <w:rPr>
          <w:rStyle w:val="FootnoteReference"/>
        </w:rPr>
        <w:footnoteRef/>
      </w:r>
      <w:r w:rsidRPr="00010DF7">
        <w:t xml:space="preserve"> </w:t>
      </w:r>
      <w:r w:rsidRPr="00010DF7">
        <w:rPr>
          <w:i/>
          <w:iCs/>
        </w:rPr>
        <w:t>Nationally Determined Contribution of Bosnia and Herzegovina (NDC) for the Period 2020-2030,</w:t>
      </w:r>
      <w:r w:rsidR="0047217F" w:rsidRPr="00010DF7">
        <w:t xml:space="preserve"> UNFCCC,</w:t>
      </w:r>
      <w:r w:rsidRPr="00010DF7">
        <w:t xml:space="preserve"> </w:t>
      </w:r>
      <w:hyperlink r:id="rId21" w:history="1">
        <w:r w:rsidRPr="00010DF7">
          <w:rPr>
            <w:rStyle w:val="Hyperlink"/>
          </w:rPr>
          <w:t>https://unfccc.int/sites/default/files/NDC/2022-06/NDC%20BiH_November%202020%20FINAL%20DRAFT%2005%20Nov%20ENG%20LR.pdf</w:t>
        </w:r>
      </w:hyperlink>
      <w:r w:rsidRPr="00010DF7">
        <w:t xml:space="preserve">. </w:t>
      </w:r>
    </w:p>
  </w:footnote>
  <w:footnote w:id="62">
    <w:p w14:paraId="0A3BC3B1" w14:textId="4D312FD0" w:rsidR="00F71B86" w:rsidRPr="00010DF7" w:rsidRDefault="00686443" w:rsidP="002A104A">
      <w:pPr>
        <w:pStyle w:val="FootnoteText"/>
      </w:pPr>
      <w:r w:rsidRPr="00010DF7">
        <w:rPr>
          <w:rStyle w:val="FootnoteReference"/>
        </w:rPr>
        <w:footnoteRef/>
      </w:r>
      <w:r w:rsidRPr="00010DF7">
        <w:t xml:space="preserve"> </w:t>
      </w:r>
      <w:r w:rsidR="002A104A" w:rsidRPr="00010DF7">
        <w:t xml:space="preserve">Ministry of Human Rights and Refugees, Gender Equality Agency of Bosnia and Herzegovina, Action Plan for the Implementation of UNSCR 1325 “Women, Peace and Security” in Bosnia and Herzegovina for the period 2018-2022, </w:t>
      </w:r>
      <w:r w:rsidR="002A104A" w:rsidRPr="00010DF7">
        <w:rPr>
          <w:rFonts w:cs="Times New Roman"/>
          <w:smallCaps/>
          <w:lang w:val="en-GB"/>
        </w:rPr>
        <w:t>LSE - Women, Peace Security,</w:t>
      </w:r>
      <w:r w:rsidR="002A104A" w:rsidRPr="00010DF7">
        <w:t xml:space="preserve"> at p.</w:t>
      </w:r>
      <w:r w:rsidR="00F01E4F" w:rsidRPr="00010DF7">
        <w:t>6,</w:t>
      </w:r>
      <w:r w:rsidR="002A104A" w:rsidRPr="00010DF7">
        <w:t xml:space="preserve"> https://www.wpsnaps.org/app/uploads/2021/01/Bosnia-and-Herzegovina-NAP-3-2018-2022-English-translation.pdf. </w:t>
      </w:r>
    </w:p>
  </w:footnote>
  <w:footnote w:id="63">
    <w:p w14:paraId="549C0E3E" w14:textId="77777777" w:rsidR="009E3BD8" w:rsidRPr="00010DF7" w:rsidRDefault="009E3BD8" w:rsidP="009E3BD8">
      <w:pPr>
        <w:pStyle w:val="FootnoteText"/>
      </w:pPr>
      <w:r w:rsidRPr="00010DF7">
        <w:rPr>
          <w:rStyle w:val="FootnoteReference"/>
        </w:rPr>
        <w:footnoteRef/>
      </w:r>
      <w:r w:rsidRPr="00010DF7">
        <w:t xml:space="preserve"> CEDAW, </w:t>
      </w:r>
      <w:r w:rsidRPr="00010DF7">
        <w:rPr>
          <w:i/>
          <w:iCs/>
        </w:rPr>
        <w:t>Concluding observations on the sixth periodic report of Bosnia and Herzegovina</w:t>
      </w:r>
      <w:r w:rsidRPr="00010DF7">
        <w:t>, C/BIH/CO/6 (2019), paras. 29-30.</w:t>
      </w:r>
    </w:p>
  </w:footnote>
  <w:footnote w:id="64">
    <w:p w14:paraId="3ADAF833" w14:textId="5F3432A6" w:rsidR="000A13F3" w:rsidRPr="00010DF7" w:rsidRDefault="000A13F3" w:rsidP="000A13F3">
      <w:pPr>
        <w:pStyle w:val="FootnoteText"/>
      </w:pPr>
      <w:r w:rsidRPr="00010DF7">
        <w:rPr>
          <w:rStyle w:val="FootnoteReference"/>
        </w:rPr>
        <w:footnoteRef/>
      </w:r>
      <w:r w:rsidRPr="00010DF7">
        <w:t xml:space="preserve"> Ministry of Human Rights and Refugees, Gender Equality Agency of Bosnia and Herzegovina, Action Plan for the Implementation of UNSCR 1325 “Women, Peace and Security” in Bosnia and Herzegovina for the period 2018-2022, </w:t>
      </w:r>
      <w:r w:rsidRPr="00010DF7">
        <w:rPr>
          <w:rFonts w:cs="Times New Roman"/>
          <w:smallCaps/>
          <w:lang w:val="en-GB"/>
        </w:rPr>
        <w:t>LSE - Women, Peace Security,</w:t>
      </w:r>
      <w:r w:rsidRPr="00010DF7">
        <w:t xml:space="preserve"> at p.</w:t>
      </w:r>
      <w:r w:rsidR="00BE05EC" w:rsidRPr="00010DF7">
        <w:t>9</w:t>
      </w:r>
      <w:r w:rsidRPr="00010DF7">
        <w:t xml:space="preserve">, https://www.wpsnaps.org/app/uploads/2021/01/Bosnia-and-Herzegovina-NAP-3-2018-2022-English-translation.pdf. </w:t>
      </w:r>
    </w:p>
  </w:footnote>
  <w:footnote w:id="65">
    <w:p w14:paraId="5F4A8409" w14:textId="73A89381" w:rsidR="00BE05EC" w:rsidRPr="00010DF7" w:rsidRDefault="00BE05EC" w:rsidP="00BE05EC">
      <w:pPr>
        <w:pStyle w:val="FootnoteText"/>
      </w:pPr>
      <w:r w:rsidRPr="00010DF7">
        <w:rPr>
          <w:rStyle w:val="FootnoteReference"/>
        </w:rPr>
        <w:footnoteRef/>
      </w:r>
      <w:r w:rsidRPr="00010DF7">
        <w:t xml:space="preserve"> Ministry of Human Rights and Refugees, Gender Equality Agency of Bosnia and Herzegovina, Action Plan for the Implementation of UNSCR 1325 “Women, Peace and Security” in Bosnia and Herzegovina for the period 2018-2022, </w:t>
      </w:r>
      <w:r w:rsidRPr="00010DF7">
        <w:rPr>
          <w:rFonts w:cs="Times New Roman"/>
          <w:smallCaps/>
          <w:lang w:val="en-GB"/>
        </w:rPr>
        <w:t>LSE - Women, Peace Security,</w:t>
      </w:r>
      <w:r w:rsidRPr="00010DF7">
        <w:t xml:space="preserve"> at p.10, https://www.wpsnaps.org/app/uploads/2021/01/Bosnia-and-Herzegovina-NAP-3-2018-2022-English-translation.pdf. </w:t>
      </w:r>
    </w:p>
  </w:footnote>
  <w:footnote w:id="66">
    <w:p w14:paraId="09609A43" w14:textId="77777777" w:rsidR="00EB08A3" w:rsidRPr="00010DF7" w:rsidRDefault="00EB08A3" w:rsidP="00EB08A3">
      <w:pPr>
        <w:pStyle w:val="FootnoteText"/>
      </w:pPr>
      <w:r w:rsidRPr="00010DF7">
        <w:rPr>
          <w:rStyle w:val="FootnoteReference"/>
        </w:rPr>
        <w:footnoteRef/>
      </w:r>
      <w:r w:rsidRPr="00010DF7">
        <w:t xml:space="preserve"> Ministry of Human Rights and Refugees, Gender Equality Agency of Bosnia and Herzegovina, Action Plan for the Implementation of UNSCR 1325 “Women, Peace and Security” in Bosnia and Herzegovina for the period 2018-2022, </w:t>
      </w:r>
      <w:r w:rsidRPr="00010DF7">
        <w:rPr>
          <w:rFonts w:cs="Times New Roman"/>
          <w:smallCaps/>
          <w:lang w:val="en-GB"/>
        </w:rPr>
        <w:t>LSE - Women, Peace Security,</w:t>
      </w:r>
      <w:r w:rsidRPr="00010DF7">
        <w:t xml:space="preserve"> at p.10, https://www.wpsnaps.org/app/uploads/2021/01/Bosnia-and-Herzegovina-NAP-3-2018-2022-English-translation.pdf. </w:t>
      </w:r>
    </w:p>
  </w:footnote>
  <w:footnote w:id="67">
    <w:p w14:paraId="493CE7C6" w14:textId="77777777"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68">
    <w:p w14:paraId="4FAC0926" w14:textId="356A57D3" w:rsidR="000F5EE7" w:rsidRPr="00010DF7" w:rsidRDefault="000F5EE7" w:rsidP="000F5EE7">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{"citationID":"VCu1R5PV","properties":{"formattedCitation":"WPS National Action Plans: France, {\\scaps LSE - Women, Peace Security}, https://www.wpsnaps.org/nap/french-national-action-plan-iii/ (last visited Mar 12, 2023).","plainCitation":"WPS National Action Plans: France, LSE - Women, Peace Security, https://www.wpsnaps.org/nap/french-national-action-plan-iii/ (last visited Mar 12, 2023).","dontUpdate":true,"noteIndex":58},"citationItems":[{"id":932,"uris":["http://zotero.org/users/10345638/items/J29IKP27"],"itemData":{"id":932,"type":"webpage","abstract":"Explore the Women, Peace and Security National Action Plans by region, country, year and topic.","container-title":"LSE - Women, Peace Security","language":"en-GB","title":"LSE-WPS National Action Plans: France","URL":"https://www.wpsnaps.org/nap/french-national-action-plan-iii/","accessed":{"date-parts":[["2023",3,12]]}}}],"schema":"https://github.com/citation-style-language/schema/raw/master/csl-citation.json"} </w:instrText>
      </w:r>
      <w:r w:rsidRPr="00010DF7">
        <w:fldChar w:fldCharType="separate"/>
      </w:r>
      <w:r w:rsidRPr="00010DF7">
        <w:t xml:space="preserve">Caitlin Biddolph and Laura J. Shepherd, </w:t>
      </w:r>
      <w:r w:rsidRPr="00010DF7">
        <w:rPr>
          <w:i/>
          <w:iCs/>
        </w:rPr>
        <w:t>WPS National Action Plans: Content Analysis and Data Visualisation</w:t>
      </w:r>
      <w:r w:rsidRPr="00010DF7">
        <w:rPr>
          <w:rFonts w:cs="Times New Roman"/>
          <w:lang w:val="en-GB"/>
        </w:rPr>
        <w:t xml:space="preserve">. </w:t>
      </w:r>
      <w:r w:rsidR="00F537A9" w:rsidRPr="00010DF7">
        <w:rPr>
          <w:rFonts w:cs="Times New Roman"/>
          <w:i/>
          <w:iCs/>
          <w:lang w:val="en-GB"/>
        </w:rPr>
        <w:t>Bosnia and Herzegovina</w:t>
      </w:r>
      <w:r w:rsidRPr="00010DF7">
        <w:rPr>
          <w:rFonts w:cs="Times New Roman"/>
          <w:lang w:val="en-GB"/>
        </w:rPr>
        <w:t xml:space="preserve">, 2022, </w:t>
      </w:r>
      <w:r w:rsidRPr="00010DF7">
        <w:rPr>
          <w:rFonts w:cs="Times New Roman"/>
          <w:smallCaps/>
          <w:lang w:val="en-GB"/>
        </w:rPr>
        <w:t>LSE - Women, Peace Security</w:t>
      </w:r>
      <w:r w:rsidRPr="00010DF7">
        <w:rPr>
          <w:rFonts w:cs="Times New Roman"/>
          <w:lang w:val="en-GB"/>
        </w:rPr>
        <w:t xml:space="preserve">, </w:t>
      </w:r>
      <w:r w:rsidR="00F537A9" w:rsidRPr="00010DF7">
        <w:rPr>
          <w:rFonts w:cs="Times New Roman"/>
          <w:lang w:val="en-GB"/>
        </w:rPr>
        <w:t xml:space="preserve">https://www.wpsnaps.org/nap/bosnia-and-herzegovina-national-action-plan-iii/ </w:t>
      </w:r>
      <w:r w:rsidRPr="00010DF7">
        <w:rPr>
          <w:rFonts w:cs="Times New Roman"/>
          <w:lang w:val="en-GB"/>
        </w:rPr>
        <w:t>(last visited Mar 12, 2023).</w:t>
      </w:r>
      <w:r w:rsidRPr="00010DF7">
        <w:fldChar w:fldCharType="end"/>
      </w:r>
    </w:p>
  </w:footnote>
  <w:footnote w:id="69">
    <w:p w14:paraId="5D564F1E" w14:textId="7671ECA9" w:rsidR="00F30601" w:rsidRPr="00010DF7" w:rsidRDefault="00F30601">
      <w:pPr>
        <w:pStyle w:val="FootnoteText"/>
      </w:pPr>
      <w:r w:rsidRPr="00010DF7">
        <w:rPr>
          <w:rStyle w:val="FootnoteReference"/>
        </w:rPr>
        <w:footnoteRef/>
      </w:r>
      <w:r w:rsidRPr="00010DF7">
        <w:t xml:space="preserve"> </w:t>
      </w:r>
      <w:r w:rsidR="007F627E" w:rsidRPr="00010DF7">
        <w:rPr>
          <w:smallCaps/>
        </w:rPr>
        <w:t>Civil Service Act [Закон за държавния служител]</w:t>
      </w:r>
      <w:r w:rsidR="007F627E" w:rsidRPr="00010DF7">
        <w:t> </w:t>
      </w:r>
      <w:r w:rsidR="009D18BF" w:rsidRPr="00010DF7">
        <w:t>State Gazette No. 67/27.07.1999, as amended</w:t>
      </w:r>
      <w:r w:rsidR="003C6CEB" w:rsidRPr="00010DF7">
        <w:t xml:space="preserve"> (Bulgaria)</w:t>
      </w:r>
      <w:r w:rsidR="009D18BF" w:rsidRPr="00010DF7">
        <w:t xml:space="preserve">; available for download in English on the </w:t>
      </w:r>
      <w:r w:rsidR="003C6CEB" w:rsidRPr="00010DF7">
        <w:t xml:space="preserve">Ministry of Enegery website: </w:t>
      </w:r>
      <w:hyperlink r:id="rId22" w:history="1">
        <w:r w:rsidR="003C6CEB" w:rsidRPr="00010DF7">
          <w:rPr>
            <w:rStyle w:val="Hyperlink"/>
          </w:rPr>
          <w:t>https://www.me.government.bg/en/library/civil-servants-act-381-c25-m1515-1.html</w:t>
        </w:r>
      </w:hyperlink>
      <w:r w:rsidR="003C6CEB" w:rsidRPr="00010DF7">
        <w:t xml:space="preserve">. </w:t>
      </w:r>
    </w:p>
  </w:footnote>
  <w:footnote w:id="70">
    <w:p w14:paraId="381178F5" w14:textId="1FFECCBF" w:rsidR="001F4210" w:rsidRPr="00010DF7" w:rsidRDefault="00FC7606" w:rsidP="00596C46">
      <w:pPr>
        <w:pStyle w:val="FootnoteText"/>
      </w:pPr>
      <w:r w:rsidRPr="00010DF7">
        <w:rPr>
          <w:rStyle w:val="FootnoteReference"/>
        </w:rPr>
        <w:footnoteRef/>
      </w:r>
      <w:r w:rsidRPr="00010DF7">
        <w:t xml:space="preserve"> </w:t>
      </w:r>
      <w:r w:rsidR="00192FA8" w:rsidRPr="00010DF7">
        <w:rPr>
          <w:smallCaps/>
        </w:rPr>
        <w:t xml:space="preserve">Law </w:t>
      </w:r>
      <w:r w:rsidR="00596C46" w:rsidRPr="00010DF7">
        <w:rPr>
          <w:smallCaps/>
        </w:rPr>
        <w:t>o</w:t>
      </w:r>
      <w:r w:rsidR="00192FA8" w:rsidRPr="00010DF7">
        <w:rPr>
          <w:smallCaps/>
        </w:rPr>
        <w:t xml:space="preserve">n Equality </w:t>
      </w:r>
      <w:r w:rsidR="00596C46" w:rsidRPr="00010DF7">
        <w:rPr>
          <w:smallCaps/>
        </w:rPr>
        <w:t>o</w:t>
      </w:r>
      <w:r w:rsidR="00192FA8" w:rsidRPr="00010DF7">
        <w:rPr>
          <w:smallCaps/>
        </w:rPr>
        <w:t xml:space="preserve">f Women </w:t>
      </w:r>
      <w:r w:rsidR="00596C46" w:rsidRPr="00010DF7">
        <w:rPr>
          <w:smallCaps/>
        </w:rPr>
        <w:t>a</w:t>
      </w:r>
      <w:r w:rsidR="00192FA8" w:rsidRPr="00010DF7">
        <w:rPr>
          <w:smallCaps/>
        </w:rPr>
        <w:t>nd Men</w:t>
      </w:r>
      <w:r w:rsidR="00192FA8" w:rsidRPr="00010DF7">
        <w:t xml:space="preserve"> </w:t>
      </w:r>
      <w:r w:rsidR="00B72DA6" w:rsidRPr="00010DF7">
        <w:t>[</w:t>
      </w:r>
      <w:r w:rsidR="00192FA8" w:rsidRPr="00010DF7">
        <w:rPr>
          <w:smallCaps/>
        </w:rPr>
        <w:t>Закон За Равнопоставеност На Жените И Мъжете</w:t>
      </w:r>
      <w:r w:rsidR="00B72DA6" w:rsidRPr="00010DF7">
        <w:t>] </w:t>
      </w:r>
      <w:r w:rsidR="00596C46" w:rsidRPr="00010DF7">
        <w:t xml:space="preserve">Pron. DV. no. 33 of April 26, 2016, </w:t>
      </w:r>
      <w:hyperlink r:id="rId23" w:history="1">
        <w:r w:rsidR="001F4210" w:rsidRPr="00010DF7">
          <w:rPr>
            <w:rStyle w:val="Hyperlink"/>
          </w:rPr>
          <w:t>https://lex.bg/en/laws/ldoc/2136803101</w:t>
        </w:r>
      </w:hyperlink>
      <w:r w:rsidR="00192FA8" w:rsidRPr="00010DF7">
        <w:t xml:space="preserve"> (Bulgaria)</w:t>
      </w:r>
    </w:p>
  </w:footnote>
  <w:footnote w:id="71">
    <w:p w14:paraId="28786FD5" w14:textId="77777777" w:rsidR="001B4B20" w:rsidRPr="009043EC" w:rsidRDefault="001B4B20" w:rsidP="001B4B20">
      <w:pPr>
        <w:pStyle w:val="FootnoteText"/>
      </w:pPr>
      <w:r>
        <w:rPr>
          <w:rStyle w:val="FootnoteReference"/>
        </w:rPr>
        <w:footnoteRef/>
      </w:r>
      <w:r>
        <w:t xml:space="preserve"> </w:t>
      </w:r>
      <w:r w:rsidRPr="009043EC">
        <w:t xml:space="preserve">CEDAW, </w:t>
      </w:r>
      <w:r w:rsidRPr="009043EC">
        <w:rPr>
          <w:i/>
          <w:iCs/>
        </w:rPr>
        <w:t>Concluding observations on the eighth periodic report of Bulgaria</w:t>
      </w:r>
      <w:r w:rsidRPr="009043EC">
        <w:t>, C/BGR/CO/8 (2020), paras. 27-28.</w:t>
      </w:r>
    </w:p>
  </w:footnote>
  <w:footnote w:id="72">
    <w:p w14:paraId="7201BCFF" w14:textId="77777777" w:rsidR="009A5956" w:rsidRPr="00010DF7" w:rsidRDefault="009A5956" w:rsidP="009A5956">
      <w:pPr>
        <w:pStyle w:val="FootnoteText"/>
      </w:pPr>
      <w:r w:rsidRPr="00010DF7">
        <w:rPr>
          <w:rStyle w:val="FootnoteReference"/>
        </w:rPr>
        <w:footnoteRef/>
      </w:r>
      <w:r w:rsidRPr="00010DF7">
        <w:t xml:space="preserve"> </w:t>
      </w:r>
      <w:r w:rsidRPr="00010DF7">
        <w:rPr>
          <w:smallCaps/>
        </w:rPr>
        <w:t>North Atlantic Treaty Organization</w:t>
      </w:r>
      <w:r w:rsidRPr="00010DF7">
        <w:t xml:space="preserve">, </w:t>
      </w:r>
      <w:r w:rsidRPr="00010DF7">
        <w:rPr>
          <w:i/>
          <w:iCs/>
        </w:rPr>
        <w:t>Summary of the National Reports of NATO Member and Partner Nations to the NATO Committee on Gender Perspectives. Full Report</w:t>
      </w:r>
      <w:r w:rsidRPr="00010DF7">
        <w:t>,</w:t>
      </w:r>
      <w:r w:rsidRPr="00010DF7">
        <w:rPr>
          <w:i/>
          <w:iCs/>
        </w:rPr>
        <w:t xml:space="preserve"> </w:t>
      </w:r>
      <w:r w:rsidRPr="00010DF7">
        <w:t xml:space="preserve">2019, at 167,  </w:t>
      </w:r>
      <w:hyperlink r:id="rId24" w:anchor="page=167" w:history="1">
        <w:r w:rsidRPr="00010DF7">
          <w:rPr>
            <w:rStyle w:val="Hyperlink"/>
          </w:rPr>
          <w:t>https://www.nato.int/nato_static_fl2014/assets/pdf/2021/9/pdf/NCGP_Full_Report_2019.pdf - page=167</w:t>
        </w:r>
      </w:hyperlink>
      <w:r w:rsidRPr="00010DF7">
        <w:t xml:space="preserve">. </w:t>
      </w:r>
    </w:p>
  </w:footnote>
  <w:footnote w:id="73">
    <w:p w14:paraId="20DBA53D" w14:textId="2F7A5EF9" w:rsidR="009A5956" w:rsidRPr="00010DF7" w:rsidRDefault="009A5956" w:rsidP="009A5956">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{"citationID":"KgJ3Gapu","properties":{"formattedCitation":"Hungary - Women, Peace, Security, https://www.globalwps.org/details/HUN (last visited Mar 13, 2023).","plainCitation":"Hungary - Women, Peace, Security, https://www.globalwps.org/details/HUN (last visited Mar 13, 2023).","dontUpdate":true,"noteIndex":62},"citationItems":[{"id":946,"uris":["http://zotero.org/users/10345638/items/EKXJ9478"],"itemData":{"id":946,"type":"webpage","title":"Hungary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Bulgaria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https://www.globalwps.org/details/BGR (last visited Mar 13, 2023).</w:t>
      </w:r>
      <w:r w:rsidRPr="00010DF7">
        <w:fldChar w:fldCharType="end"/>
      </w:r>
    </w:p>
  </w:footnote>
  <w:footnote w:id="74">
    <w:p w14:paraId="47BC640B" w14:textId="53D9115A" w:rsidR="009A5956" w:rsidRPr="00010DF7" w:rsidRDefault="009A5956" w:rsidP="009A5956">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{"citationID":"XqLEWOm3","properties":{"formattedCitation":"Hungary - Women, Peace, Security, https://www.globalwps.org/details/HUN (last visited Mar 13, 2023).","plainCitation":"Hungary - Women, Peace, Security, https://www.globalwps.org/details/HUN (last visited Mar 13, 2023).","dontUpdate":true,"noteIndex":63},"citationItems":[{"id":946,"uris":["http://zotero.org/users/10345638/items/EKXJ9478"],"itemData":{"id":946,"type":"webpage","title":"Hungary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Bulgaria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https://www.globalwps.org/details/BGR (last visited Mar 13, 2023).</w:t>
      </w:r>
      <w:r w:rsidRPr="00010DF7">
        <w:fldChar w:fldCharType="end"/>
      </w:r>
    </w:p>
  </w:footnote>
  <w:footnote w:id="75">
    <w:p w14:paraId="374FDF82" w14:textId="169B155C" w:rsidR="004116DF" w:rsidRPr="00010DF7" w:rsidRDefault="004116DF">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{"citationID":"dnSRRkeJ","properties":{"formattedCitation":"{\\scaps Dr. Hannah Neumann, Barbara Mittelhammer &amp; Sofiia Shevchuk}, {\\i{}The #SHEcurity Index - An Overview}, (2021), https://shecurity.info/wp-content/uploads/2021/10/Report_Shecurity_2021_RGB-Final.pdf.","plainCitation":"Dr. Hannah Neumann, Barbara Mittelhammer &amp; Sofiia Shevchuk, The #SHEcurity Index - An Overview, (2021), https://shecurity.info/wp-content/uploads/2021/10/Report_Shecurity_2021_RGB-Final.pdf.","dontUpdate":true,"noteIndex":64},"citationItems":[{"id":775,"uris":["http://zotero.org/users/10345638/items/ER4DGBGF"],"itemData":{"id":775,"type":"report","publisher":"Shecurity","title":"The #SHEcurity Index - An Overview","URL":"https://shecurity.info/wp-content/uploads/2021/10/Report_Shecurity_2021_RGB-Final.pdf","author":[{"family":"Neumann","given":"Dr. Hannah"},{"family":"Mittelhammer","given":"Barbara"},{"family":"Shevchuk","given":"Sofiia"}],"issued":{"date-parts":[["2021"]]}}}],"schema":"https://github.com/citation-style-language/schema/raw/master/csl-citation.json"} </w:instrText>
      </w:r>
      <w:r w:rsidRPr="00010DF7">
        <w:fldChar w:fldCharType="separate"/>
      </w:r>
      <w:r w:rsidRPr="00010DF7">
        <w:rPr>
          <w:rFonts w:cs="Times New Roman"/>
          <w:smallCaps/>
          <w:lang w:val="en-GB"/>
        </w:rPr>
        <w:t>Dr. Hannah Neumann, Barbara Mittelhammer &amp; Sofiia Shevchuk</w:t>
      </w:r>
      <w:r w:rsidRPr="00010DF7">
        <w:rPr>
          <w:rFonts w:cs="Times New Roman"/>
          <w:lang w:val="en-GB"/>
        </w:rPr>
        <w:t xml:space="preserve">, </w:t>
      </w:r>
      <w:r w:rsidRPr="00010DF7">
        <w:rPr>
          <w:rFonts w:cs="Times New Roman"/>
          <w:i/>
          <w:iCs/>
          <w:lang w:val="en-GB"/>
        </w:rPr>
        <w:t>The #SHEcurity Index - An Overview</w:t>
      </w:r>
      <w:r w:rsidRPr="00010DF7">
        <w:rPr>
          <w:rFonts w:cs="Times New Roman"/>
          <w:lang w:val="en-GB"/>
        </w:rPr>
        <w:t>, 29 (2021), https://shecurity.info/wp-content/uploads/2021/10/Report_Shecurity_2021_RGB-Final.pdf.</w:t>
      </w:r>
      <w:r w:rsidRPr="00010DF7">
        <w:fldChar w:fldCharType="end"/>
      </w:r>
    </w:p>
  </w:footnote>
  <w:footnote w:id="76">
    <w:p w14:paraId="147DE3F3" w14:textId="2A779813" w:rsidR="00CE2A33" w:rsidRPr="00010DF7" w:rsidRDefault="00CE2A33" w:rsidP="00CE2A33">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{"citationID":"stgfcOBk","properties":{"formattedCitation":"Militsa Ivanova Karadzhova-Manova, {\\i{}Woman Integration in the Military Service. The Case of Bulgaria}, 24 {\\scaps International conference KNOWLEDGE-BASED ORGANIZATION} 104 (2018).","plainCitation":"Militsa Ivanova Karadzhova-Manova, Woman Integration in the Military Service. The Case of Bulgaria, 24 International conference KNOWLEDGE-BASED ORGANIZATION 104 (2018).","dontUpdate":true,"noteIndex":65},"citationItems":[{"id":948,"uris":["http://zotero.org/users/10345638/items/Y73DX684"],"itemData":{"id":948,"type":"article-journal","abstract":"AbstractAccording to most of the research papers there are good social psychological conditions, which influence the smooth integration of women into the military. Furthermore, the opinion of military men to women integration in it, is generally well accepted. Most of them except women as equal and treat them with respect. A considerable percentage of women in the army share that it is not necessary for them being privilege, compare to men. Additional studies suggest that higher ranking officials in the military, know well their subordinate’s issues and it is not their gender that defines their capabilities, but their experience and qualities","container-title":"International conference KNOWLEDGE-BASED ORGANIZATION","DOI":"10.1515/kbo-2018-0016","issue":"1","language":"de","page":"104-107","source":"sciendo.com","title":"Woman Integration in the Military Service. The Case of Bulgaria","volume":"24","author":[{"family":"Karadzhova-Manova","given":"Militsa Ivanova"}],"issued":{"date-parts":[["2018",6,1]]}}}],"schema":"https://github.com/citation-style-language/schema/raw/master/csl-citation.json"} </w:instrText>
      </w:r>
      <w:r w:rsidRPr="00010DF7">
        <w:fldChar w:fldCharType="separate"/>
      </w:r>
      <w:r w:rsidRPr="00010DF7">
        <w:rPr>
          <w:rFonts w:cs="Times New Roman"/>
          <w:lang w:val="en-GB"/>
        </w:rPr>
        <w:t xml:space="preserve">Militsa Ivanova Karadzhova-Manova, </w:t>
      </w:r>
      <w:r w:rsidRPr="00010DF7">
        <w:rPr>
          <w:rFonts w:cs="Times New Roman"/>
          <w:i/>
          <w:iCs/>
          <w:lang w:val="en-GB"/>
        </w:rPr>
        <w:t>Woman Integration in the Military Service. The Case of Bulgaria</w:t>
      </w:r>
      <w:r w:rsidRPr="00010DF7">
        <w:rPr>
          <w:rFonts w:cs="Times New Roman"/>
          <w:lang w:val="en-GB"/>
        </w:rPr>
        <w:t xml:space="preserve">, 24 </w:t>
      </w:r>
      <w:r w:rsidRPr="00010DF7">
        <w:rPr>
          <w:rFonts w:cs="Times New Roman"/>
          <w:smallCaps/>
          <w:lang w:val="en-GB"/>
        </w:rPr>
        <w:t>International conference KNOWLEDGE-BASED ORGANIZATION</w:t>
      </w:r>
      <w:r w:rsidRPr="00010DF7">
        <w:rPr>
          <w:rFonts w:cs="Times New Roman"/>
          <w:lang w:val="en-GB"/>
        </w:rPr>
        <w:t xml:space="preserve"> 104, at</w:t>
      </w:r>
      <w:r w:rsidR="00C23162" w:rsidRPr="00010DF7">
        <w:rPr>
          <w:rFonts w:cs="Times New Roman"/>
          <w:lang w:val="en-GB"/>
        </w:rPr>
        <w:t xml:space="preserve"> 105-106</w:t>
      </w:r>
      <w:r w:rsidRPr="00010DF7">
        <w:rPr>
          <w:rFonts w:cs="Times New Roman"/>
          <w:lang w:val="en-GB"/>
        </w:rPr>
        <w:t xml:space="preserve"> (2018).</w:t>
      </w:r>
      <w:r w:rsidRPr="00010DF7">
        <w:fldChar w:fldCharType="end"/>
      </w:r>
    </w:p>
  </w:footnote>
  <w:footnote w:id="77">
    <w:p w14:paraId="02F3030E" w14:textId="77777777" w:rsidR="001F7E7B" w:rsidRPr="00010DF7" w:rsidRDefault="001F7E7B" w:rsidP="001F7E7B">
      <w:pPr>
        <w:pStyle w:val="FootnoteText"/>
      </w:pPr>
      <w:r w:rsidRPr="00010DF7">
        <w:rPr>
          <w:rStyle w:val="FootnoteReference"/>
        </w:rPr>
        <w:footnoteRef/>
      </w:r>
      <w:r w:rsidRPr="00010DF7">
        <w:t xml:space="preserve"> Militsa Ivanova Karadzhova-Manova, </w:t>
      </w:r>
      <w:r w:rsidRPr="00010DF7">
        <w:rPr>
          <w:i/>
          <w:iCs/>
        </w:rPr>
        <w:t>Woman Integration in the Military Service. The Case of Bulgaria</w:t>
      </w:r>
      <w:r w:rsidRPr="00010DF7">
        <w:t>, 24 International Conference Knowledge-Based Organization 1, 104, 105-106 (2018).</w:t>
      </w:r>
    </w:p>
  </w:footnote>
  <w:footnote w:id="78">
    <w:p w14:paraId="1B8012AE" w14:textId="77777777"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79">
    <w:p w14:paraId="5B2A5A36" w14:textId="53FBEC2B" w:rsidR="000B26D2" w:rsidRPr="00010DF7" w:rsidRDefault="000B26D2" w:rsidP="00FC3432">
      <w:pPr>
        <w:pStyle w:val="FootnoteText"/>
      </w:pPr>
      <w:r w:rsidRPr="00010DF7">
        <w:rPr>
          <w:rStyle w:val="FootnoteReference"/>
        </w:rPr>
        <w:footnoteRef/>
      </w:r>
      <w:r w:rsidRPr="00010DF7">
        <w:t xml:space="preserve"> Ministry of Foreign Affairs of the Republic of Bulgaria, </w:t>
      </w:r>
      <w:r w:rsidRPr="00010DF7">
        <w:rPr>
          <w:i/>
          <w:iCs/>
        </w:rPr>
        <w:t>Women, Peace аnd Security National Action Plan 2020 – 2025</w:t>
      </w:r>
      <w:r w:rsidRPr="00010DF7">
        <w:t xml:space="preserve">, (2020), </w:t>
      </w:r>
      <w:r w:rsidRPr="00010DF7">
        <w:rPr>
          <w:rFonts w:cs="Times New Roman"/>
          <w:smallCaps/>
          <w:lang w:val="en-GB"/>
        </w:rPr>
        <w:t>Women’s International League for Peace and Freedom - 1325 NAPs Project</w:t>
      </w:r>
      <w:r w:rsidRPr="00010DF7">
        <w:rPr>
          <w:rFonts w:cs="Times New Roman"/>
          <w:lang w:val="en-GB"/>
        </w:rPr>
        <w:t>,</w:t>
      </w:r>
      <w:r w:rsidR="004C0153" w:rsidRPr="00010DF7">
        <w:rPr>
          <w:rFonts w:cs="Times New Roman"/>
          <w:lang w:val="en-GB"/>
        </w:rPr>
        <w:t xml:space="preserve"> </w:t>
      </w:r>
      <w:hyperlink r:id="rId25" w:history="1">
        <w:r w:rsidR="004C0153" w:rsidRPr="00010DF7">
          <w:rPr>
            <w:rStyle w:val="Hyperlink"/>
          </w:rPr>
          <w:t>http://1325naps.peacewomen.org/wp-content/uploads/2021/07/Bulgaria-2020-2025.pdf</w:t>
        </w:r>
      </w:hyperlink>
      <w:r w:rsidRPr="00010DF7">
        <w:t>.</w:t>
      </w:r>
    </w:p>
  </w:footnote>
  <w:footnote w:id="80">
    <w:p w14:paraId="2BC60541" w14:textId="3A6E646B" w:rsidR="0078726C" w:rsidRPr="00010DF7" w:rsidRDefault="0078726C" w:rsidP="0078726C">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{"citationID":"pTIkxqOb","properties":{"formattedCitation":"WPS National Action Plans: France, {\\scaps LSE - Women, Peace Security}, https://www.wpsnaps.org/nap/french-national-action-plan-iii/ (last visited Mar 12, 2023).","plainCitation":"WPS National Action Plans: France, LSE - Women, Peace Security, https://www.wpsnaps.org/nap/french-national-action-plan-iii/ (last visited Mar 12, 2023).","dontUpdate":true,"noteIndex":69},"citationItems":[{"id":932,"uris":["http://zotero.org/users/10345638/items/J29IKP27"],"itemData":{"id":932,"type":"webpage","abstract":"Explore the Women, Peace and Security National Action Plans by region, country, year and topic.","container-title":"LSE - Women, Peace Security","language":"en-GB","title":"LSE-WPS National Action Plans: France","URL":"https://www.wpsnaps.org/nap/french-national-action-plan-iii/","accessed":{"date-parts":[["2023",3,12]]}}}],"schema":"https://github.com/citation-style-language/schema/raw/master/csl-citation.json"} </w:instrText>
      </w:r>
      <w:r w:rsidRPr="00010DF7">
        <w:fldChar w:fldCharType="separate"/>
      </w:r>
      <w:r w:rsidRPr="00010DF7">
        <w:t xml:space="preserve">Caitlin Biddolph and Laura J. Shepherd, </w:t>
      </w:r>
      <w:r w:rsidRPr="00010DF7">
        <w:rPr>
          <w:i/>
          <w:iCs/>
        </w:rPr>
        <w:t>WPS National Action Plans: Content Analysis and Data Visualisation</w:t>
      </w:r>
      <w:r w:rsidRPr="00010DF7">
        <w:rPr>
          <w:rFonts w:cs="Times New Roman"/>
          <w:lang w:val="en-GB"/>
        </w:rPr>
        <w:t xml:space="preserve">. </w:t>
      </w:r>
      <w:r w:rsidRPr="00010DF7">
        <w:rPr>
          <w:rFonts w:cs="Times New Roman"/>
          <w:i/>
          <w:iCs/>
          <w:lang w:val="en-GB"/>
        </w:rPr>
        <w:t>Bulgaria</w:t>
      </w:r>
      <w:r w:rsidRPr="00010DF7">
        <w:rPr>
          <w:rFonts w:cs="Times New Roman"/>
          <w:lang w:val="en-GB"/>
        </w:rPr>
        <w:t xml:space="preserve">, 2022, </w:t>
      </w:r>
      <w:r w:rsidRPr="00010DF7">
        <w:rPr>
          <w:rFonts w:cs="Times New Roman"/>
          <w:smallCaps/>
          <w:lang w:val="en-GB"/>
        </w:rPr>
        <w:t>LSE - Women, Peace Security</w:t>
      </w:r>
      <w:r w:rsidRPr="00010DF7">
        <w:rPr>
          <w:rFonts w:cs="Times New Roman"/>
          <w:lang w:val="en-GB"/>
        </w:rPr>
        <w:t>, https://www.wpsnaps.org/nap/bulgarian-national-action-plan/ (last visited Mar 12, 2023).</w:t>
      </w:r>
      <w:r w:rsidRPr="00010DF7">
        <w:fldChar w:fldCharType="end"/>
      </w:r>
    </w:p>
  </w:footnote>
  <w:footnote w:id="81">
    <w:p w14:paraId="3E4AEC17" w14:textId="4C4F0108" w:rsidR="00B91A80" w:rsidRPr="00010DF7" w:rsidRDefault="00B91A80" w:rsidP="00940BF2">
      <w:pPr>
        <w:pStyle w:val="FootnoteText"/>
        <w:jc w:val="both"/>
      </w:pPr>
      <w:r w:rsidRPr="00010DF7">
        <w:rPr>
          <w:rStyle w:val="FootnoteReference"/>
        </w:rPr>
        <w:footnoteRef/>
      </w:r>
      <w:r w:rsidRPr="00010DF7">
        <w:t xml:space="preserve"> </w:t>
      </w:r>
      <w:r w:rsidR="00D15F0F" w:rsidRPr="00010DF7">
        <w:rPr>
          <w:smallCaps/>
        </w:rPr>
        <w:t>Gender Equality Act</w:t>
      </w:r>
      <w:r w:rsidR="00D15F0F" w:rsidRPr="00010DF7">
        <w:t xml:space="preserve"> 2008 (Text No. 2663) [</w:t>
      </w:r>
      <w:r w:rsidR="00D15F0F" w:rsidRPr="00010DF7">
        <w:rPr>
          <w:smallCaps/>
        </w:rPr>
        <w:t>Zakon o ravnopravnosti spolova</w:t>
      </w:r>
      <w:r w:rsidR="00D15F0F" w:rsidRPr="00010DF7">
        <w:t>]</w:t>
      </w:r>
      <w:r w:rsidR="00940BF2" w:rsidRPr="00010DF7">
        <w:t xml:space="preserve"> </w:t>
      </w:r>
      <w:hyperlink r:id="rId26" w:history="1">
        <w:r w:rsidR="00940BF2" w:rsidRPr="00010DF7">
          <w:rPr>
            <w:rStyle w:val="Hyperlink"/>
          </w:rPr>
          <w:t>https://www.ilo.org/dyn/natlex/docs/ELECTRONIC/83909/92965/F1671454996/HRV83909.pdf</w:t>
        </w:r>
      </w:hyperlink>
      <w:r w:rsidR="00940BF2" w:rsidRPr="00010DF7">
        <w:t xml:space="preserve"> (Croatia). </w:t>
      </w:r>
    </w:p>
  </w:footnote>
  <w:footnote w:id="82">
    <w:p w14:paraId="009F7BEE" w14:textId="5B87A14B" w:rsidR="00496D5A" w:rsidRPr="00010DF7" w:rsidRDefault="00496D5A">
      <w:pPr>
        <w:pStyle w:val="FootnoteText"/>
      </w:pPr>
      <w:r w:rsidRPr="00010DF7">
        <w:rPr>
          <w:rStyle w:val="FootnoteReference"/>
        </w:rPr>
        <w:footnoteRef/>
      </w:r>
      <w:r w:rsidRPr="00010DF7">
        <w:t xml:space="preserve"> </w:t>
      </w:r>
      <w:r w:rsidR="00175770" w:rsidRPr="00010DF7">
        <w:rPr>
          <w:i/>
          <w:iCs/>
        </w:rPr>
        <w:t>National Action Plan for the Implementation of UN Security Council Resolution 1325 (2000) on Women, Peace and Security, and Related Resolutions (2019 to 2023) (NAP II</w:t>
      </w:r>
      <w:r w:rsidR="004C0153" w:rsidRPr="00010DF7">
        <w:rPr>
          <w:i/>
          <w:iCs/>
        </w:rPr>
        <w:t>)</w:t>
      </w:r>
      <w:r w:rsidR="004C0153" w:rsidRPr="00010DF7">
        <w:t xml:space="preserve">, (2019), </w:t>
      </w:r>
      <w:r w:rsidR="004C0153" w:rsidRPr="00010DF7">
        <w:rPr>
          <w:rFonts w:cs="Times New Roman"/>
          <w:smallCaps/>
          <w:lang w:val="en-GB"/>
        </w:rPr>
        <w:t>Women’s International League for Peace and Freedom - 1325 NAPs Project</w:t>
      </w:r>
      <w:r w:rsidR="004C0153" w:rsidRPr="00010DF7">
        <w:rPr>
          <w:rFonts w:cs="Times New Roman"/>
          <w:lang w:val="en-GB"/>
        </w:rPr>
        <w:t>,</w:t>
      </w:r>
      <w:r w:rsidR="006767D7" w:rsidRPr="00010DF7">
        <w:rPr>
          <w:rFonts w:cs="Times New Roman"/>
          <w:lang w:val="en-GB"/>
        </w:rPr>
        <w:t xml:space="preserve"> at 6,</w:t>
      </w:r>
      <w:r w:rsidR="003D211D" w:rsidRPr="00010DF7">
        <w:rPr>
          <w:rFonts w:cs="Times New Roman"/>
          <w:lang w:val="en-GB"/>
        </w:rPr>
        <w:t xml:space="preserve"> </w:t>
      </w:r>
      <w:hyperlink r:id="rId27" w:history="1">
        <w:r w:rsidR="003D211D" w:rsidRPr="00010DF7">
          <w:rPr>
            <w:rStyle w:val="Hyperlink"/>
            <w:rFonts w:cs="Times New Roman"/>
            <w:lang w:val="en-GB"/>
          </w:rPr>
          <w:t>https://www.peacewomen.org/sites/default/files/1910041657-nap-en-fin.pdf</w:t>
        </w:r>
      </w:hyperlink>
      <w:r w:rsidR="003D211D" w:rsidRPr="00010DF7">
        <w:rPr>
          <w:rFonts w:cs="Times New Roman"/>
          <w:lang w:val="en-GB"/>
        </w:rPr>
        <w:t xml:space="preserve">. </w:t>
      </w:r>
    </w:p>
  </w:footnote>
  <w:footnote w:id="83">
    <w:p w14:paraId="44C5D8D7" w14:textId="77777777" w:rsidR="00932D6B" w:rsidRPr="001E18D0" w:rsidRDefault="00932D6B" w:rsidP="00932D6B">
      <w:pPr>
        <w:pStyle w:val="FootnoteText"/>
      </w:pPr>
      <w:r>
        <w:rPr>
          <w:rStyle w:val="FootnoteReference"/>
        </w:rPr>
        <w:footnoteRef/>
      </w:r>
      <w:r>
        <w:t xml:space="preserve"> </w:t>
      </w:r>
      <w:r w:rsidRPr="001E18D0">
        <w:t xml:space="preserve">CEDAW, </w:t>
      </w:r>
      <w:r w:rsidRPr="001E18D0">
        <w:rPr>
          <w:i/>
          <w:iCs/>
        </w:rPr>
        <w:t>Concluding observations on the combined fourth and fifth periodic reports of Croatia</w:t>
      </w:r>
      <w:r w:rsidRPr="001E18D0">
        <w:t>, C/HRV/CO/4-5 (2015), para. 22.</w:t>
      </w:r>
    </w:p>
  </w:footnote>
  <w:footnote w:id="84">
    <w:p w14:paraId="7A5F59F3" w14:textId="36613138" w:rsidR="002E200C" w:rsidRPr="00010DF7" w:rsidRDefault="002E200C" w:rsidP="002E200C">
      <w:pPr>
        <w:pStyle w:val="FootnoteText"/>
      </w:pPr>
      <w:r w:rsidRPr="00010DF7">
        <w:rPr>
          <w:rStyle w:val="FootnoteReference"/>
        </w:rPr>
        <w:footnoteRef/>
      </w:r>
      <w:r w:rsidRPr="00010DF7">
        <w:t xml:space="preserve"> </w:t>
      </w:r>
      <w:r w:rsidRPr="00010DF7">
        <w:rPr>
          <w:smallCaps/>
        </w:rPr>
        <w:t>North Atlantic Treaty Organization</w:t>
      </w:r>
      <w:r w:rsidRPr="00010DF7">
        <w:t xml:space="preserve">, </w:t>
      </w:r>
      <w:r w:rsidRPr="00010DF7">
        <w:rPr>
          <w:i/>
          <w:iCs/>
        </w:rPr>
        <w:t>Summary of the National Reports of NATO Member and Partner Nations to the NATO Committee on Gender Perspectives. Full Report</w:t>
      </w:r>
      <w:r w:rsidRPr="00010DF7">
        <w:t>,</w:t>
      </w:r>
      <w:r w:rsidRPr="00010DF7">
        <w:rPr>
          <w:i/>
          <w:iCs/>
        </w:rPr>
        <w:t xml:space="preserve"> </w:t>
      </w:r>
      <w:r w:rsidRPr="00010DF7">
        <w:t>2019,</w:t>
      </w:r>
      <w:r w:rsidR="001A6B76" w:rsidRPr="00010DF7">
        <w:t xml:space="preserve"> at 207,</w:t>
      </w:r>
      <w:r w:rsidRPr="00010DF7">
        <w:t xml:space="preserve"> </w:t>
      </w:r>
      <w:hyperlink r:id="rId28" w:anchor="page=207" w:history="1">
        <w:r w:rsidR="001A6B76" w:rsidRPr="00010DF7">
          <w:rPr>
            <w:rStyle w:val="Hyperlink"/>
          </w:rPr>
          <w:t>https://www.nato.int/nato_static_fl2014/assets/pdf/2021/9/pdf/NCGP_Full_Report_2019.pdf - page=207</w:t>
        </w:r>
      </w:hyperlink>
      <w:r w:rsidRPr="00010DF7">
        <w:t xml:space="preserve">. </w:t>
      </w:r>
    </w:p>
  </w:footnote>
  <w:footnote w:id="85">
    <w:p w14:paraId="1184817B" w14:textId="381A42C6" w:rsidR="00904838" w:rsidRPr="00010DF7" w:rsidRDefault="00904838" w:rsidP="00904838">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{"citationID":"jPK3GvnS","properties":{"formattedCitation":"Hungary - Women, Peace, Security, https://www.globalwps.org/details/HUN (last visited Mar 13, 2023).","plainCitation":"Hungary - Women, Peace, Security, https://www.globalwps.org/details/HUN (last visited Mar 13, 2023).","dontUpdate":true,"noteIndex":73},"citationItems":[{"id":946,"uris":["http://zotero.org/users/10345638/items/EKXJ9478"],"itemData":{"id":946,"type":"webpage","title":"Hungary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Croatia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https://www.globalwps.org/details/HRV (last visited Mar 13, 2023).</w:t>
      </w:r>
      <w:r w:rsidRPr="00010DF7">
        <w:fldChar w:fldCharType="end"/>
      </w:r>
    </w:p>
  </w:footnote>
  <w:footnote w:id="86">
    <w:p w14:paraId="64E44D36" w14:textId="3C7237D2" w:rsidR="00C50216" w:rsidRPr="00010DF7" w:rsidRDefault="00C50216" w:rsidP="00C50216">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{"citationID":"QXDV42HR","properties":{"formattedCitation":"Hungary - Women, Peace, Security, https://www.globalwps.org/details/HUN (last visited Mar 13, 2023).","plainCitation":"Hungary - Women, Peace, Security, https://www.globalwps.org/details/HUN (last visited Mar 13, 2023).","dontUpdate":true,"noteIndex":74},"citationItems":[{"id":946,"uris":["http://zotero.org/users/10345638/items/EKXJ9478"],"itemData":{"id":946,"type":"webpage","title":"Hungary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Croatia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https://www.globalwps.org/details/HRV (last visited Mar 13, 2023).</w:t>
      </w:r>
      <w:r w:rsidRPr="00010DF7">
        <w:fldChar w:fldCharType="end"/>
      </w:r>
    </w:p>
  </w:footnote>
  <w:footnote w:id="87">
    <w:p w14:paraId="3BCEB89B" w14:textId="50B20E2B" w:rsidR="006767D7" w:rsidRPr="00010DF7" w:rsidRDefault="006767D7" w:rsidP="006767D7">
      <w:pPr>
        <w:pStyle w:val="FootnoteText"/>
      </w:pPr>
      <w:r w:rsidRPr="00010DF7">
        <w:rPr>
          <w:rStyle w:val="FootnoteReference"/>
        </w:rPr>
        <w:footnoteRef/>
      </w:r>
      <w:r w:rsidRPr="00010DF7">
        <w:t xml:space="preserve"> National Action Plan for the Implementation of UN Security Council Resolution 1325 (2000) on Women, Peace and Security, and Related Resolutions (2019 to 2023) (NAP II), (2019), </w:t>
      </w:r>
      <w:r w:rsidRPr="00010DF7">
        <w:rPr>
          <w:rFonts w:cs="Times New Roman"/>
          <w:smallCaps/>
          <w:lang w:val="en-GB"/>
        </w:rPr>
        <w:t>Women’s International League for Peace and Freedom - 1325 NAPs Project</w:t>
      </w:r>
      <w:r w:rsidRPr="00010DF7">
        <w:rPr>
          <w:rFonts w:cs="Times New Roman"/>
          <w:lang w:val="en-GB"/>
        </w:rPr>
        <w:t xml:space="preserve">, at </w:t>
      </w:r>
      <w:r w:rsidR="00702447" w:rsidRPr="00010DF7">
        <w:rPr>
          <w:rFonts w:cs="Times New Roman"/>
          <w:lang w:val="en-GB"/>
        </w:rPr>
        <w:t>5-6</w:t>
      </w:r>
      <w:r w:rsidRPr="00010DF7">
        <w:rPr>
          <w:rFonts w:cs="Times New Roman"/>
          <w:lang w:val="en-GB"/>
        </w:rPr>
        <w:t xml:space="preserve">, </w:t>
      </w:r>
      <w:hyperlink r:id="rId29" w:history="1">
        <w:r w:rsidRPr="00010DF7">
          <w:rPr>
            <w:rStyle w:val="Hyperlink"/>
            <w:rFonts w:cs="Times New Roman"/>
            <w:lang w:val="en-GB"/>
          </w:rPr>
          <w:t>https://www.peacewomen.org/sites/default/files/1910041657-nap-en-fin.pdf</w:t>
        </w:r>
      </w:hyperlink>
      <w:r w:rsidRPr="00010DF7">
        <w:rPr>
          <w:rFonts w:cs="Times New Roman"/>
          <w:lang w:val="en-GB"/>
        </w:rPr>
        <w:t xml:space="preserve">. </w:t>
      </w:r>
    </w:p>
  </w:footnote>
  <w:footnote w:id="88">
    <w:p w14:paraId="4BF227B0" w14:textId="77777777"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89">
    <w:p w14:paraId="129812FD" w14:textId="77777777" w:rsidR="009743E0" w:rsidRPr="00010DF7" w:rsidRDefault="009743E0" w:rsidP="009743E0">
      <w:pPr>
        <w:pStyle w:val="FootnoteText"/>
      </w:pPr>
      <w:r w:rsidRPr="00010DF7">
        <w:rPr>
          <w:rStyle w:val="FootnoteReference"/>
        </w:rPr>
        <w:footnoteRef/>
      </w:r>
      <w:r w:rsidRPr="00010DF7">
        <w:t xml:space="preserve"> </w:t>
      </w:r>
      <w:r w:rsidRPr="00010DF7">
        <w:rPr>
          <w:smallCaps/>
        </w:rPr>
        <w:t>Ministry of Labour and Social Insurance, Government of Cyprus, Summary of the Equal Treatment of men and women in employment and vocational training Law</w:t>
      </w:r>
      <w:r w:rsidRPr="00010DF7">
        <w:t xml:space="preserve">, No. 205(I)/2002, </w:t>
      </w:r>
      <w:r w:rsidRPr="00010DF7">
        <w:rPr>
          <w:lang w:val="nl-NL"/>
        </w:rPr>
        <w:t>ΤΕ</w:t>
      </w:r>
      <w:r w:rsidRPr="00010DF7">
        <w:t xml:space="preserve">.64/96, (2002), at 2, </w:t>
      </w:r>
      <w:hyperlink r:id="rId30" w:history="1">
        <w:r w:rsidRPr="00010DF7">
          <w:rPr>
            <w:rStyle w:val="Hyperlink"/>
          </w:rPr>
          <w:t>https://www.ilo.org/dyn/natlex/docs/ELECTRONIC/64364/70389/F1542088671/CYP64364.pdf</w:t>
        </w:r>
      </w:hyperlink>
    </w:p>
  </w:footnote>
  <w:footnote w:id="90">
    <w:p w14:paraId="1662BF5E" w14:textId="3BF3AB55" w:rsidR="00C92143" w:rsidRPr="00010DF7" w:rsidRDefault="009743E0" w:rsidP="00350750">
      <w:pPr>
        <w:pStyle w:val="FootnoteText"/>
      </w:pPr>
      <w:r w:rsidRPr="00010DF7">
        <w:rPr>
          <w:rStyle w:val="FootnoteReference"/>
        </w:rPr>
        <w:footnoteRef/>
      </w:r>
      <w:r w:rsidRPr="00010DF7">
        <w:rPr>
          <w:smallCaps/>
        </w:rPr>
        <w:t xml:space="preserve"> </w:t>
      </w:r>
      <w:r w:rsidR="00C92143" w:rsidRPr="00010DF7">
        <w:rPr>
          <w:smallCaps/>
        </w:rPr>
        <w:t xml:space="preserve">The Equal Treatment of Men and Women in Employment and Vocational Training Law </w:t>
      </w:r>
      <w:r w:rsidR="00C92143" w:rsidRPr="00010DF7">
        <w:t xml:space="preserve">of 2002 (205(I)/2002) </w:t>
      </w:r>
      <w:r w:rsidR="00350750" w:rsidRPr="00010DF7">
        <w:t>[</w:t>
      </w:r>
      <w:r w:rsidR="00350750" w:rsidRPr="00010DF7">
        <w:rPr>
          <w:smallCaps/>
        </w:rPr>
        <w:t>O Perí Ísis Metacheírisis Andrón kai Gynaikón stin Apaschólisi kai stin Epangelmatikí Ekpaídefsi Nómos</w:t>
      </w:r>
      <w:r w:rsidR="00350750" w:rsidRPr="00010DF7">
        <w:t xml:space="preserve">], art. 37, </w:t>
      </w:r>
      <w:hyperlink r:id="rId31" w:history="1">
        <w:r w:rsidR="00C92143" w:rsidRPr="00010DF7">
          <w:rPr>
            <w:rStyle w:val="Hyperlink"/>
          </w:rPr>
          <w:t>http://www.cylaw.org/nomoi/enop/non-ind/2002_1_205/full.html</w:t>
        </w:r>
      </w:hyperlink>
      <w:r w:rsidR="00350750" w:rsidRPr="00010DF7">
        <w:t xml:space="preserve"> (Greek); (translated through Google Translate). </w:t>
      </w:r>
    </w:p>
  </w:footnote>
  <w:footnote w:id="91">
    <w:p w14:paraId="7E09417F" w14:textId="40AE90E5" w:rsidR="00123478" w:rsidRPr="00010DF7" w:rsidRDefault="00123478" w:rsidP="00025A05">
      <w:pPr>
        <w:pStyle w:val="FootnoteText"/>
      </w:pPr>
      <w:r w:rsidRPr="00010DF7">
        <w:rPr>
          <w:rStyle w:val="FootnoteReference"/>
        </w:rPr>
        <w:footnoteRef/>
      </w:r>
      <w:r w:rsidRPr="00010DF7">
        <w:t xml:space="preserve"> </w:t>
      </w:r>
      <w:r w:rsidR="000346E9" w:rsidRPr="00010DF7">
        <w:t>Office of the Commissioner for Gender Equality</w:t>
      </w:r>
      <w:r w:rsidR="00025A05" w:rsidRPr="00010DF7">
        <w:t xml:space="preserve">, </w:t>
      </w:r>
      <w:r w:rsidR="00025A05" w:rsidRPr="00010DF7">
        <w:rPr>
          <w:i/>
          <w:iCs/>
        </w:rPr>
        <w:t>National Action Plan 2021-2025 of the Republic of Cyprus on the Implementation of the United Nations Resolution 1325</w:t>
      </w:r>
      <w:r w:rsidR="00025A05" w:rsidRPr="00010DF7">
        <w:t>, (20</w:t>
      </w:r>
      <w:r w:rsidR="001E5E03" w:rsidRPr="00010DF7">
        <w:t>20</w:t>
      </w:r>
      <w:r w:rsidR="00025A05" w:rsidRPr="00010DF7">
        <w:t xml:space="preserve">), </w:t>
      </w:r>
      <w:r w:rsidR="00025A05" w:rsidRPr="00010DF7">
        <w:rPr>
          <w:rFonts w:cs="Times New Roman"/>
          <w:smallCaps/>
          <w:lang w:val="en-GB"/>
        </w:rPr>
        <w:t>Women’s International League for Peace and Freedom - 1325 NAPs Project</w:t>
      </w:r>
      <w:r w:rsidR="00025A05" w:rsidRPr="00010DF7">
        <w:rPr>
          <w:rFonts w:cs="Times New Roman"/>
          <w:lang w:val="en-GB"/>
        </w:rPr>
        <w:t>, at</w:t>
      </w:r>
      <w:r w:rsidR="00954786" w:rsidRPr="00010DF7">
        <w:rPr>
          <w:rFonts w:cs="Times New Roman"/>
          <w:lang w:val="en-GB"/>
        </w:rPr>
        <w:t xml:space="preserve"> 18</w:t>
      </w:r>
      <w:r w:rsidR="001E5E03" w:rsidRPr="00010DF7">
        <w:rPr>
          <w:rFonts w:cs="Times New Roman"/>
          <w:lang w:val="en-GB"/>
        </w:rPr>
        <w:t>,</w:t>
      </w:r>
      <w:r w:rsidR="00025A05" w:rsidRPr="00010DF7">
        <w:t xml:space="preserve"> </w:t>
      </w:r>
      <w:hyperlink r:id="rId32" w:history="1">
        <w:r w:rsidR="00025A05" w:rsidRPr="00010DF7">
          <w:rPr>
            <w:rStyle w:val="Hyperlink"/>
          </w:rPr>
          <w:t>http://1325naps.peacewomen.org/wp-content/uploads/2021/04/Cyprus-National-Action-Plan-1325.pdf</w:t>
        </w:r>
      </w:hyperlink>
      <w:r w:rsidRPr="00010DF7">
        <w:t xml:space="preserve"> </w:t>
      </w:r>
    </w:p>
  </w:footnote>
  <w:footnote w:id="92">
    <w:p w14:paraId="5CFAD64B" w14:textId="7E5C1B46" w:rsidR="0032571C" w:rsidRPr="00010DF7" w:rsidRDefault="0032571C" w:rsidP="002A53EF">
      <w:pPr>
        <w:pStyle w:val="FootnoteText"/>
      </w:pPr>
      <w:r w:rsidRPr="00010DF7">
        <w:rPr>
          <w:rStyle w:val="FootnoteReference"/>
        </w:rPr>
        <w:footnoteRef/>
      </w:r>
      <w:r w:rsidRPr="00010DF7">
        <w:t xml:space="preserve"> </w:t>
      </w:r>
      <w:r w:rsidRPr="00010DF7">
        <w:rPr>
          <w:smallCaps/>
        </w:rPr>
        <w:t>Ministry of Labour and Social Insurance, Government of Cyprus, Summary of the Equal Treatment of men and women in employment and vocational training Law</w:t>
      </w:r>
      <w:r w:rsidRPr="00010DF7">
        <w:t xml:space="preserve">, No. 205(I)/2002, </w:t>
      </w:r>
      <w:r w:rsidRPr="00010DF7">
        <w:rPr>
          <w:lang w:val="nl-NL"/>
        </w:rPr>
        <w:t>ΤΕ</w:t>
      </w:r>
      <w:r w:rsidRPr="00010DF7">
        <w:t xml:space="preserve">.64/96, (2002), at 2, </w:t>
      </w:r>
      <w:hyperlink r:id="rId33" w:history="1">
        <w:r w:rsidRPr="00010DF7">
          <w:rPr>
            <w:rStyle w:val="Hyperlink"/>
          </w:rPr>
          <w:t>https://www.ilo.org/dyn/natlex/docs/ELECTRONIC/64364/70389/F1542088671/CYP64364.pdf</w:t>
        </w:r>
      </w:hyperlink>
    </w:p>
  </w:footnote>
  <w:footnote w:id="93">
    <w:p w14:paraId="1E530545" w14:textId="0E6106D1" w:rsidR="00BD57F8" w:rsidRPr="00010DF7" w:rsidRDefault="00BD57F8">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{"citationID":"cOoiiIOr","properties":{"formattedCitation":"{\\scaps Vera Pavlou}, {\\i{}Cyrpus - Country Report Gender Equality 2022}, (2022), https://www.equalitylaw.eu/downloads/5661-cyprus-country-report-gender-equality-2022-1-mb.","plainCitation":"Vera Pavlou, Cyrpus - Country Report Gender Equality 2022, (2022), https://www.equalitylaw.eu/downloads/5661-cyprus-country-report-gender-equality-2022-1-mb.","dontUpdate":true,"noteIndex":81},"citationItems":[{"id":716,"uris":["http://zotero.org/users/10345638/items/ZEC577H9"],"itemData":{"id":716,"type":"report","collection-title":"European Equality Law Network","event-place":"Luxembourg: Publications Office of the European Union","publisher":"EU Commission. Directorate-General for Justice and Consumers.","publisher-place":"Luxembourg: Publications Office of the European Union","title":"Cyrpus - Country Report Gender Equality 2022","URL":"https://www.equalitylaw.eu/downloads/5661-cyprus-country-report-gender-equality-2022-1-mb","author":[{"family":"Pavlou","given":"Vera"}],"issued":{"date-parts":[["2022"]]}}}],"schema":"https://github.com/citation-style-language/schema/raw/master/csl-citation.json"} </w:instrText>
      </w:r>
      <w:r w:rsidRPr="00010DF7">
        <w:fldChar w:fldCharType="separate"/>
      </w:r>
      <w:r w:rsidRPr="00010DF7">
        <w:rPr>
          <w:rFonts w:cs="Times New Roman"/>
          <w:smallCaps/>
          <w:lang w:val="en-GB"/>
        </w:rPr>
        <w:t>Vera Pavlou</w:t>
      </w:r>
      <w:r w:rsidRPr="00010DF7">
        <w:rPr>
          <w:rFonts w:cs="Times New Roman"/>
          <w:lang w:val="en-GB"/>
        </w:rPr>
        <w:t xml:space="preserve">, </w:t>
      </w:r>
      <w:r w:rsidRPr="00010DF7">
        <w:rPr>
          <w:rFonts w:cs="Times New Roman"/>
          <w:i/>
          <w:iCs/>
          <w:lang w:val="en-GB"/>
        </w:rPr>
        <w:t>Cyrpus - Country Report Gender Equality 2022</w:t>
      </w:r>
      <w:r w:rsidRPr="00010DF7">
        <w:rPr>
          <w:rFonts w:cs="Times New Roman"/>
          <w:lang w:val="en-GB"/>
        </w:rPr>
        <w:t xml:space="preserve">, </w:t>
      </w:r>
      <w:r w:rsidR="003B214D" w:rsidRPr="00010DF7">
        <w:rPr>
          <w:rFonts w:cs="Times New Roman"/>
          <w:lang w:val="en-GB"/>
        </w:rPr>
        <w:t xml:space="preserve">11 </w:t>
      </w:r>
      <w:r w:rsidRPr="00010DF7">
        <w:rPr>
          <w:rFonts w:cs="Times New Roman"/>
          <w:lang w:val="en-GB"/>
        </w:rPr>
        <w:t>(2022), https://www.equalitylaw.eu/downloads/5661-cyprus-country-report-gender-equality-2022-1-mb.</w:t>
      </w:r>
      <w:r w:rsidRPr="00010DF7">
        <w:fldChar w:fldCharType="end"/>
      </w:r>
    </w:p>
  </w:footnote>
  <w:footnote w:id="94">
    <w:p w14:paraId="4C029582" w14:textId="77777777"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95">
    <w:p w14:paraId="7DCC8BAA" w14:textId="361E9FC9" w:rsidR="008F2419" w:rsidRPr="00010DF7" w:rsidRDefault="008F2419" w:rsidP="008F2419">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{"citationID":"PIOY2OXU","properties":{"formattedCitation":"{\\scaps Kristina Koldinsk\\uc0\\u225{}}, {\\i{}Czechia - Country Report Gender Equality 2022}, (2022), https://www.equalitylaw.eu/downloads/5663-czechia-country-report-gender-equality-2022-1-13-mb.","plainCitation":"Kristina Koldinská, Czechia - Country Report Gender Equality 2022, (2022), https://www.equalitylaw.eu/downloads/5663-czechia-country-report-gender-equality-2022-1-13-mb.","dontUpdate":true,"noteIndex":83},"citationItems":[{"id":715,"uris":["http://zotero.org/users/10345638/items/LGQ9CMRV"],"itemData":{"id":715,"type":"report","collection-title":"European Equality Law Network","event-place":"Luxembourg: Publications Office of the European Union","publisher":"EU Commission. Directorate-General for Justice and Consumers.","publisher-place":"Luxembourg: Publications Office of the European Union","title":"Czechia - Country Report Gender Equality 2022","URL":"https://www.equalitylaw.eu/downloads/5663-czechia-country-report-gender-equality-2022-1-13-mb","author":[{"family":"Koldinská","given":"Kristina"}],"issued":{"date-parts":[["2022"]]}}}],"schema":"https://github.com/citation-style-language/schema/raw/master/csl-citation.json"} </w:instrText>
      </w:r>
      <w:r w:rsidRPr="00010DF7">
        <w:fldChar w:fldCharType="separate"/>
      </w:r>
      <w:r w:rsidRPr="00010DF7">
        <w:rPr>
          <w:rFonts w:cs="Times New Roman"/>
          <w:smallCaps/>
          <w:lang w:val="en-GB"/>
        </w:rPr>
        <w:t>Kristina Koldinská</w:t>
      </w:r>
      <w:r w:rsidRPr="00010DF7">
        <w:rPr>
          <w:rFonts w:cs="Times New Roman"/>
          <w:lang w:val="en-GB"/>
        </w:rPr>
        <w:t xml:space="preserve">, </w:t>
      </w:r>
      <w:r w:rsidRPr="00010DF7">
        <w:rPr>
          <w:rFonts w:cs="Times New Roman"/>
          <w:i/>
          <w:iCs/>
          <w:lang w:val="en-GB"/>
        </w:rPr>
        <w:t>Czechia - Country Report Gender Equality 2022</w:t>
      </w:r>
      <w:r w:rsidRPr="00010DF7">
        <w:rPr>
          <w:rFonts w:cs="Times New Roman"/>
          <w:lang w:val="en-GB"/>
        </w:rPr>
        <w:t>, at 24 (2022), https://www.equalitylaw.eu/downloads/5663-czechia-country-report-gender-equality-2022-1-13-mb.</w:t>
      </w:r>
      <w:r w:rsidRPr="00010DF7">
        <w:fldChar w:fldCharType="end"/>
      </w:r>
    </w:p>
  </w:footnote>
  <w:footnote w:id="96">
    <w:p w14:paraId="2FDA9137" w14:textId="524649D9" w:rsidR="009902DA" w:rsidRPr="00010DF7" w:rsidRDefault="009902DA">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{"citationID":"qxZ4Z9bz","properties":{"formattedCitation":"{\\scaps Kristina Koldinsk\\uc0\\u225{}}, {\\i{}Czechia - Country Report Gender Equality 2022}, (2022), https://www.equalitylaw.eu/downloads/5663-czechia-country-report-gender-equality-2022-1-13-mb.","plainCitation":"Kristina Koldinská, Czechia - Country Report Gender Equality 2022, (2022), https://www.equalitylaw.eu/downloads/5663-czechia-country-report-gender-equality-2022-1-13-mb.","dontUpdate":true,"noteIndex":84},"citationItems":[{"id":715,"uris":["http://zotero.org/users/10345638/items/LGQ9CMRV"],"itemData":{"id":715,"type":"report","collection-title":"European Equality Law Network","event-place":"Luxembourg: Publications Office of the European Union","publisher":"EU Commission. Directorate-General for Justice and Consumers.","publisher-place":"Luxembourg: Publications Office of the European Union","title":"Czechia - Country Report Gender Equality 2022","URL":"https://www.equalitylaw.eu/downloads/5663-czechia-country-report-gender-equality-2022-1-13-mb","author":[{"family":"Koldinská","given":"Kristina"}],"issued":{"date-parts":[["2022"]]}}}],"schema":"https://github.com/citation-style-language/schema/raw/master/csl-citation.json"} </w:instrText>
      </w:r>
      <w:r w:rsidRPr="00010DF7">
        <w:fldChar w:fldCharType="separate"/>
      </w:r>
      <w:r w:rsidRPr="00010DF7">
        <w:rPr>
          <w:rFonts w:cs="Times New Roman"/>
          <w:smallCaps/>
          <w:lang w:val="en-GB"/>
        </w:rPr>
        <w:t>Kristina Koldinská</w:t>
      </w:r>
      <w:r w:rsidRPr="00010DF7">
        <w:rPr>
          <w:rFonts w:cs="Times New Roman"/>
          <w:lang w:val="en-GB"/>
        </w:rPr>
        <w:t xml:space="preserve">, </w:t>
      </w:r>
      <w:r w:rsidRPr="00010DF7">
        <w:rPr>
          <w:rFonts w:cs="Times New Roman"/>
          <w:i/>
          <w:iCs/>
          <w:lang w:val="en-GB"/>
        </w:rPr>
        <w:t>Czechia - Country Report Gender Equality 2022</w:t>
      </w:r>
      <w:r w:rsidRPr="00010DF7">
        <w:rPr>
          <w:rFonts w:cs="Times New Roman"/>
          <w:lang w:val="en-GB"/>
        </w:rPr>
        <w:t xml:space="preserve">, at </w:t>
      </w:r>
      <w:r w:rsidR="00E43BCA" w:rsidRPr="00010DF7">
        <w:rPr>
          <w:rFonts w:cs="Times New Roman"/>
          <w:lang w:val="en-GB"/>
        </w:rPr>
        <w:t>24</w:t>
      </w:r>
      <w:r w:rsidR="00220D15" w:rsidRPr="00010DF7">
        <w:rPr>
          <w:rFonts w:cs="Times New Roman"/>
          <w:lang w:val="en-GB"/>
        </w:rPr>
        <w:t xml:space="preserve"> </w:t>
      </w:r>
      <w:r w:rsidRPr="00010DF7">
        <w:rPr>
          <w:rFonts w:cs="Times New Roman"/>
          <w:lang w:val="en-GB"/>
        </w:rPr>
        <w:t>(2022), https://www.equalitylaw.eu/downloads/5663-czechia-country-report-gender-equality-2022-1-13-mb.</w:t>
      </w:r>
      <w:r w:rsidRPr="00010DF7">
        <w:fldChar w:fldCharType="end"/>
      </w:r>
    </w:p>
  </w:footnote>
  <w:footnote w:id="97">
    <w:p w14:paraId="0B88766D" w14:textId="77777777" w:rsidR="00EE3185" w:rsidRPr="001E18D0" w:rsidRDefault="00EE3185" w:rsidP="00EE3185">
      <w:pPr>
        <w:pStyle w:val="FootnoteText"/>
      </w:pPr>
      <w:r>
        <w:rPr>
          <w:rStyle w:val="FootnoteReference"/>
        </w:rPr>
        <w:footnoteRef/>
      </w:r>
      <w:r>
        <w:t xml:space="preserve"> CEDAW, </w:t>
      </w:r>
      <w:r w:rsidRPr="001E18D0">
        <w:rPr>
          <w:i/>
          <w:iCs/>
        </w:rPr>
        <w:t>Concluding observations on the sixth periodic report of the Czech Republic</w:t>
      </w:r>
      <w:r w:rsidRPr="001E18D0">
        <w:t>, C/CZE/CO/6 (2016), para.</w:t>
      </w:r>
      <w:r>
        <w:t xml:space="preserve"> 22.</w:t>
      </w:r>
    </w:p>
  </w:footnote>
  <w:footnote w:id="98">
    <w:p w14:paraId="10C4B457" w14:textId="6830078D" w:rsidR="000D470C" w:rsidRPr="00010DF7" w:rsidRDefault="000D470C" w:rsidP="001B6611">
      <w:pPr>
        <w:pStyle w:val="FootnoteText"/>
        <w:tabs>
          <w:tab w:val="left" w:pos="4111"/>
        </w:tabs>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{"citationID":"MjGQGpS4","properties":{"formattedCitation":"{\\scaps Kristina Koldinsk\\uc0\\u225{}}, {\\i{}Czechia - Country Report Gender Equality 2022}, (2022), https://www.equalitylaw.eu/downloads/5663-czechia-country-report-gender-equality-2022-1-13-mb.","plainCitation":"Kristina Koldinská, Czechia - Country Report Gender Equality 2022, (2022), https://www.equalitylaw.eu/downloads/5663-czechia-country-report-gender-equality-2022-1-13-mb.","dontUpdate":true,"noteIndex":85},"citationItems":[{"id":715,"uris":["http://zotero.org/users/10345638/items/LGQ9CMRV"],"itemData":{"id":715,"type":"report","collection-title":"European Equality Law Network","event-place":"Luxembourg: Publications Office of the European Union","publisher":"EU Commission. Directorate-General for Justice and Consumers.","publisher-place":"Luxembourg: Publications Office of the European Union","title":"Czechia - Country Report Gender Equality 2022","URL":"https://www.equalitylaw.eu/downloads/5663-czechia-country-report-gender-equality-2022-1-13-mb","author":[{"family":"Koldinská","given":"Kristina"}],"issued":{"date-parts":[["2022"]]}}}],"schema":"https://github.com/citation-style-language/schema/raw/master/csl-citation.json"} </w:instrText>
      </w:r>
      <w:r w:rsidRPr="00010DF7">
        <w:fldChar w:fldCharType="separate"/>
      </w:r>
      <w:r w:rsidRPr="00010DF7">
        <w:rPr>
          <w:rFonts w:cs="Times New Roman"/>
          <w:smallCaps/>
          <w:lang w:val="en-GB"/>
        </w:rPr>
        <w:t>Kristina Koldinská</w:t>
      </w:r>
      <w:r w:rsidRPr="00010DF7">
        <w:rPr>
          <w:rFonts w:cs="Times New Roman"/>
          <w:lang w:val="en-GB"/>
        </w:rPr>
        <w:t xml:space="preserve">, </w:t>
      </w:r>
      <w:r w:rsidRPr="00010DF7">
        <w:rPr>
          <w:rFonts w:cs="Times New Roman"/>
          <w:i/>
          <w:iCs/>
          <w:lang w:val="en-GB"/>
        </w:rPr>
        <w:t>Czechia - Country Report Gender Equality 2022</w:t>
      </w:r>
      <w:r w:rsidRPr="00010DF7">
        <w:rPr>
          <w:rFonts w:cs="Times New Roman"/>
          <w:lang w:val="en-GB"/>
        </w:rPr>
        <w:t>, at 24 (2022), https://www.equalitylaw.eu/downloads/5663-czechia-country-report-gender-equality-2022-1-13-mb.</w:t>
      </w:r>
      <w:r w:rsidRPr="00010DF7">
        <w:fldChar w:fldCharType="end"/>
      </w:r>
    </w:p>
  </w:footnote>
  <w:footnote w:id="99">
    <w:p w14:paraId="3A3F9B74" w14:textId="77777777" w:rsidR="00F24028" w:rsidRPr="00010DF7" w:rsidRDefault="00F24028" w:rsidP="00F24028">
      <w:pPr>
        <w:pStyle w:val="FootnoteText"/>
      </w:pPr>
      <w:r w:rsidRPr="00010DF7">
        <w:rPr>
          <w:rStyle w:val="FootnoteReference"/>
        </w:rPr>
        <w:footnoteRef/>
      </w:r>
      <w:r w:rsidRPr="00010DF7">
        <w:t xml:space="preserve"> </w:t>
      </w:r>
      <w:r w:rsidRPr="00010DF7">
        <w:rPr>
          <w:smallCaps/>
        </w:rPr>
        <w:t>North Atlantic Treaty Organization</w:t>
      </w:r>
      <w:r w:rsidRPr="00010DF7">
        <w:t xml:space="preserve">, </w:t>
      </w:r>
      <w:r w:rsidRPr="00010DF7">
        <w:rPr>
          <w:i/>
          <w:iCs/>
        </w:rPr>
        <w:t>Summary of the National Reports of NATO Member and Partner Nations to the NATO Committee on Gender Perspectives. Full Report</w:t>
      </w:r>
      <w:r w:rsidRPr="00010DF7">
        <w:t>,</w:t>
      </w:r>
      <w:r w:rsidRPr="00010DF7">
        <w:rPr>
          <w:i/>
          <w:iCs/>
        </w:rPr>
        <w:t xml:space="preserve"> </w:t>
      </w:r>
      <w:r w:rsidRPr="00010DF7">
        <w:t xml:space="preserve">2019, at 225, </w:t>
      </w:r>
      <w:hyperlink r:id="rId34" w:anchor="page=225" w:history="1">
        <w:r w:rsidRPr="00010DF7">
          <w:rPr>
            <w:rStyle w:val="Hyperlink"/>
          </w:rPr>
          <w:t>https://www.nato.int/nato_static_fl2014/assets/pdf/2021/9/pdf/NCGP_Full_Report_2019.pdf - page=225</w:t>
        </w:r>
      </w:hyperlink>
      <w:r w:rsidRPr="00010DF7">
        <w:t xml:space="preserve">. </w:t>
      </w:r>
    </w:p>
  </w:footnote>
  <w:footnote w:id="100">
    <w:p w14:paraId="1F5F9112" w14:textId="63E6B71F" w:rsidR="00B954F9" w:rsidRPr="00010DF7" w:rsidRDefault="00B954F9" w:rsidP="00B954F9">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{"citationID":"hzDzoaxM","properties":{"formattedCitation":"Hungary - Women, Peace, Security, https://www.globalwps.org/details/HUN (last visited Mar 13, 2023).","plainCitation":"Hungary - Women, Peace, Security, https://www.globalwps.org/details/HUN (last visited Mar 13, 2023).","dontUpdate":true,"noteIndex":87},"citationItems":[{"id":946,"uris":["http://zotero.org/users/10345638/items/EKXJ9478"],"itemData":{"id":946,"type":"webpage","title":"Hungary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Czechia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globalwps.org/details/CZE (last visited Apr. 2, 2023).</w:t>
      </w:r>
      <w:r w:rsidRPr="00010DF7">
        <w:fldChar w:fldCharType="end"/>
      </w:r>
    </w:p>
  </w:footnote>
  <w:footnote w:id="101">
    <w:p w14:paraId="665ECD4D" w14:textId="5C9F41C2" w:rsidR="00BF254E" w:rsidRPr="00010DF7" w:rsidRDefault="00BF254E" w:rsidP="00BF254E">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{"citationID":"hjkKMrs2","properties":{"formattedCitation":"Hungary - Women, Peace, Security, https://www.globalwps.org/details/HUN (last visited Mar 13, 2023).","plainCitation":"Hungary - Women, Peace, Security, https://www.globalwps.org/details/HUN (last visited Mar 13, 2023).","dontUpdate":true,"noteIndex":88},"citationItems":[{"id":946,"uris":["http://zotero.org/users/10345638/items/EKXJ9478"],"itemData":{"id":946,"type":"webpage","title":"Hungary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Czechia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globalwps.org/details/CZE (last visited Apr. 2, 2023).</w:t>
      </w:r>
      <w:r w:rsidRPr="00010DF7">
        <w:fldChar w:fldCharType="end"/>
      </w:r>
    </w:p>
  </w:footnote>
  <w:footnote w:id="102">
    <w:p w14:paraId="03269F58" w14:textId="6018C8AC"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103">
    <w:p w14:paraId="3D708D74" w14:textId="1873537A" w:rsidR="00DD1009" w:rsidRPr="00010DF7" w:rsidRDefault="00DD1009" w:rsidP="00D06990">
      <w:pPr>
        <w:pStyle w:val="FootnoteText"/>
      </w:pPr>
      <w:r w:rsidRPr="00010DF7">
        <w:rPr>
          <w:rStyle w:val="FootnoteReference"/>
        </w:rPr>
        <w:footnoteRef/>
      </w:r>
      <w:r w:rsidRPr="00010DF7">
        <w:t xml:space="preserve"> </w:t>
      </w:r>
      <w:r w:rsidR="009F3C75" w:rsidRPr="00010DF7">
        <w:t xml:space="preserve">Both NAP and “measurer” are available for download in English at: </w:t>
      </w:r>
      <w:r w:rsidR="009F3C75" w:rsidRPr="00010DF7">
        <w:rPr>
          <w:i/>
          <w:iCs/>
        </w:rPr>
        <w:t>Women, peace and security</w:t>
      </w:r>
      <w:r w:rsidR="009F3C75" w:rsidRPr="00010DF7">
        <w:t xml:space="preserve">, </w:t>
      </w:r>
      <w:r w:rsidR="009F3C75" w:rsidRPr="00010DF7">
        <w:rPr>
          <w:smallCaps/>
        </w:rPr>
        <w:t>Minister of Foreign Affaris of the Czech Republic</w:t>
      </w:r>
      <w:r w:rsidR="009F3C75" w:rsidRPr="00010DF7">
        <w:t xml:space="preserve">, </w:t>
      </w:r>
      <w:r w:rsidR="00D06990" w:rsidRPr="00010DF7">
        <w:t xml:space="preserve">Dec. 15, 2021, </w:t>
      </w:r>
      <w:hyperlink r:id="rId35" w:history="1">
        <w:r w:rsidR="00ED245E" w:rsidRPr="00010DF7">
          <w:rPr>
            <w:rStyle w:val="Hyperlink"/>
          </w:rPr>
          <w:t>https://www.mzv.cz/jnp/en/foreign_relations/women_peace_and_security/index.html</w:t>
        </w:r>
      </w:hyperlink>
      <w:r w:rsidR="00ED245E" w:rsidRPr="00010DF7">
        <w:t xml:space="preserve">. </w:t>
      </w:r>
    </w:p>
  </w:footnote>
  <w:footnote w:id="104">
    <w:p w14:paraId="62FBB466" w14:textId="55BFCFDB" w:rsidR="00CF0429" w:rsidRPr="00010DF7" w:rsidRDefault="00CF0429" w:rsidP="00CF0429">
      <w:pPr>
        <w:pStyle w:val="FootnoteText"/>
      </w:pPr>
      <w:r w:rsidRPr="00010DF7">
        <w:rPr>
          <w:rStyle w:val="FootnoteReference"/>
        </w:rPr>
        <w:footnoteRef/>
      </w:r>
      <w:r w:rsidRPr="00010DF7">
        <w:t xml:space="preserve"> Lov nr 645 af 08/06/2011 om ligebehandling af mænd og kvinder med hensyn til beskæftigelse m.v. </w:t>
      </w:r>
      <w:r w:rsidRPr="00010DF7">
        <w:rPr>
          <w:i/>
          <w:iCs/>
        </w:rPr>
        <w:t>som aendret ved lov nr 553 af 18/06/2012 og § 13 lov nr 217 af 05/03/2013 og lov nr 1709 af 27/12/2018 og lov nr 879 af 21/06/2022 § 2</w:t>
      </w:r>
      <w:r w:rsidRPr="00010DF7">
        <w:t xml:space="preserve"> [</w:t>
      </w:r>
      <w:r w:rsidRPr="00010DF7">
        <w:rPr>
          <w:smallCaps/>
        </w:rPr>
        <w:t>The Equal Treatment Act</w:t>
      </w:r>
      <w:r w:rsidRPr="00010DF7">
        <w:t>]</w:t>
      </w:r>
    </w:p>
  </w:footnote>
  <w:footnote w:id="105">
    <w:p w14:paraId="42EA3776" w14:textId="01141280" w:rsidR="005224E0" w:rsidRPr="00010DF7" w:rsidRDefault="005224E0" w:rsidP="005224E0">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{"citationID":"61e4z3wF","properties":{"formattedCitation":"{\\scaps Natalie Videbaek Munkholm}, {\\i{}Denmark - Country Report Gender Equality 2022}, (2022), https://www.equalitylaw.eu/downloads/5756-denmark-country-report-gender-equality-2022-1-18-mb.","plainCitation":"Natalie Videbaek Munkholm, Denmark - Country Report Gender Equality 2022, (2022), https://www.equalitylaw.eu/downloads/5756-denmark-country-report-gender-equality-2022-1-18-mb.","dontUpdate":true,"noteIndex":92},"citationItems":[{"id":901,"uris":["http://zotero.org/users/10345638/items/P8HHS23I"],"itemData":{"id":901,"type":"report","collection-title":"European Equality Law Network","event-place":"Luxembourg: Publications Office of the European Union","publisher":"EU Commission. Directorate-General for Justice and Consumers.","publisher-place":"Luxembourg: Publications Office of the European Union","title":"Denmark - Country Report Gender Equality 2022","URL":"https://www.equalitylaw.eu/downloads/5756-denmark-country-report-gender-equality-2022-1-18-mb","author":[{"family":"Videbaek Munkholm","given":"Natalie"}],"issued":{"date-parts":[["2022"]]}}}],"schema":"https://github.com/citation-style-language/schema/raw/master/csl-citation.json"} </w:instrText>
      </w:r>
      <w:r w:rsidRPr="00010DF7">
        <w:fldChar w:fldCharType="separate"/>
      </w:r>
      <w:r w:rsidRPr="00010DF7">
        <w:rPr>
          <w:rFonts w:cs="Times New Roman"/>
          <w:smallCaps/>
          <w:lang w:val="en-GB"/>
        </w:rPr>
        <w:t>Natalie Videbaek Munkholm</w:t>
      </w:r>
      <w:r w:rsidRPr="00010DF7">
        <w:rPr>
          <w:rFonts w:cs="Times New Roman"/>
          <w:lang w:val="en-GB"/>
        </w:rPr>
        <w:t xml:space="preserve">, </w:t>
      </w:r>
      <w:r w:rsidRPr="00010DF7">
        <w:rPr>
          <w:rFonts w:cs="Times New Roman"/>
          <w:i/>
          <w:iCs/>
          <w:lang w:val="en-GB"/>
        </w:rPr>
        <w:t>Denmark - Country Report Gender Equality 2022</w:t>
      </w:r>
      <w:r w:rsidRPr="00010DF7">
        <w:rPr>
          <w:rFonts w:cs="Times New Roman"/>
          <w:lang w:val="en-GB"/>
        </w:rPr>
        <w:t xml:space="preserve">, </w:t>
      </w:r>
      <w:r w:rsidR="00220D15" w:rsidRPr="00010DF7">
        <w:rPr>
          <w:rFonts w:cs="Times New Roman"/>
          <w:lang w:val="en-GB"/>
        </w:rPr>
        <w:t xml:space="preserve">at </w:t>
      </w:r>
      <w:r w:rsidR="00941C90" w:rsidRPr="00010DF7">
        <w:rPr>
          <w:rFonts w:cs="Times New Roman"/>
          <w:lang w:val="en-GB"/>
        </w:rPr>
        <w:t>2</w:t>
      </w:r>
      <w:r w:rsidR="001E24D5" w:rsidRPr="00010DF7">
        <w:rPr>
          <w:rFonts w:cs="Times New Roman"/>
          <w:lang w:val="en-GB"/>
        </w:rPr>
        <w:t xml:space="preserve">1 </w:t>
      </w:r>
      <w:r w:rsidRPr="00010DF7">
        <w:rPr>
          <w:rFonts w:cs="Times New Roman"/>
          <w:lang w:val="en-GB"/>
        </w:rPr>
        <w:t>(2022), https://www.equalitylaw.eu/downloads/5756-denmark-country-report-gender-equality-2022-1-18-mb.</w:t>
      </w:r>
      <w:r w:rsidRPr="00010DF7">
        <w:fldChar w:fldCharType="end"/>
      </w:r>
    </w:p>
  </w:footnote>
  <w:footnote w:id="106">
    <w:p w14:paraId="50DF427D" w14:textId="50DAA4E4" w:rsidR="005D1E26" w:rsidRPr="00010DF7" w:rsidRDefault="005D1E26">
      <w:pPr>
        <w:pStyle w:val="FootnoteText"/>
      </w:pPr>
      <w:r w:rsidRPr="00010DF7">
        <w:rPr>
          <w:rStyle w:val="FootnoteReference"/>
        </w:rPr>
        <w:footnoteRef/>
      </w:r>
      <w:r w:rsidRPr="00010DF7">
        <w:t xml:space="preserve"> Foreign Service </w:t>
      </w:r>
      <w:r w:rsidR="005A701D" w:rsidRPr="00010DF7">
        <w:t xml:space="preserve">Act </w:t>
      </w:r>
      <w:r w:rsidRPr="00010DF7">
        <w:t xml:space="preserve">(Act no. 150 of 13/04/1983) [Lov om udenrigstjenesten] </w:t>
      </w:r>
      <w:hyperlink r:id="rId36" w:history="1">
        <w:r w:rsidR="005A701D" w:rsidRPr="00010DF7">
          <w:rPr>
            <w:rStyle w:val="Hyperlink"/>
          </w:rPr>
          <w:t>https://www.retsinformation.dk/eli/lta/1983/150</w:t>
        </w:r>
      </w:hyperlink>
      <w:r w:rsidR="00902D31" w:rsidRPr="00010DF7">
        <w:t xml:space="preserve"> (Denmark).</w:t>
      </w:r>
    </w:p>
  </w:footnote>
  <w:footnote w:id="107">
    <w:p w14:paraId="24E43EAF" w14:textId="5B0AD4D9" w:rsidR="00AA58B6" w:rsidRPr="00010DF7" w:rsidRDefault="00AA58B6" w:rsidP="00AA58B6">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{"citationID":"WHxhXkKO","properties":{"formattedCitation":"Hungary - Women, Peace, Security, https://www.globalwps.org/details/HUN (last visited Mar 13, 2023).","plainCitation":"Hungary - Women, Peace, Security, https://www.globalwps.org/details/HUN (last visited Mar 13, 2023).","dontUpdate":true,"noteIndex":94},"citationItems":[{"id":946,"uris":["http://zotero.org/users/10345638/items/EKXJ9478"],"itemData":{"id":946,"type":"webpage","title":"Hungary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Denmark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https://www.globalwps.org/details/DNK (last visited Mar 13, 2023).</w:t>
      </w:r>
      <w:r w:rsidRPr="00010DF7">
        <w:fldChar w:fldCharType="end"/>
      </w:r>
    </w:p>
  </w:footnote>
  <w:footnote w:id="108">
    <w:p w14:paraId="6345766B" w14:textId="0E78B68D" w:rsidR="00AA58B6" w:rsidRPr="00010DF7" w:rsidRDefault="00AA58B6" w:rsidP="00AA58B6">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{"citationID":"7WFpBLwL","properties":{"formattedCitation":"Hungary - Women, Peace, Security, https://www.globalwps.org/details/HUN (last visited Mar 13, 2023).","plainCitation":"Hungary - Women, Peace, Security, https://www.globalwps.org/details/HUN (last visited Mar 13, 2023).","dontUpdate":true,"noteIndex":95},"citationItems":[{"id":946,"uris":["http://zotero.org/users/10345638/items/EKXJ9478"],"itemData":{"id":946,"type":"webpage","title":"Hungary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Denmark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https://www.globalwps.org/details/DNK (last visited Mar 13, 2023).</w:t>
      </w:r>
      <w:r w:rsidRPr="00010DF7">
        <w:fldChar w:fldCharType="end"/>
      </w:r>
    </w:p>
  </w:footnote>
  <w:footnote w:id="109">
    <w:p w14:paraId="7ADCE592" w14:textId="50F67B1B" w:rsidR="00AA58B6" w:rsidRPr="00010DF7" w:rsidRDefault="00AA58B6" w:rsidP="00AA58B6">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{"citationID":"Pqc4l702","properties":{"formattedCitation":"Hungary - Women, Peace, Security, https://www.globalwps.org/details/HUN (last visited Mar 13, 2023).","plainCitation":"Hungary - Women, Peace, Security, https://www.globalwps.org/details/HUN (last visited Mar 13, 2023).","dontUpdate":true,"noteIndex":96},"citationItems":[{"id":946,"uris":["http://zotero.org/users/10345638/items/EKXJ9478"],"itemData":{"id":946,"type":"webpage","title":"Hungary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Denmark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https://www.globalwps.org/details/DNK (last visited Mar 13, 2023).</w:t>
      </w:r>
      <w:r w:rsidRPr="00010DF7">
        <w:fldChar w:fldCharType="end"/>
      </w:r>
    </w:p>
  </w:footnote>
  <w:footnote w:id="110">
    <w:p w14:paraId="10306239" w14:textId="092E41AF" w:rsidR="003227CB" w:rsidRPr="00010DF7" w:rsidRDefault="003227CB">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{"citationID":"KuvKtM30","properties":{"formattedCitation":"Christian Wienberg &amp; Frances Schwartzkopff, {\\i{}Denmark Calls for Mandatory Military Service for Women - Bloomberg}, {\\scaps Bloomberg}, Jan. 26, 2023, https://www.bloomberg.com/news/articles/2023-01-26/danish-defense-minister-calls-for-mandatory-enlistment-for-women?leadSource=uverify%20wall (last visited Mar 8, 2023).","plainCitation":"Christian Wienberg &amp; Frances Schwartzkopff, Denmark Calls for Mandatory Military Service for Women - Bloomberg, Bloomberg, Jan. 26, 2023, https://www.bloomberg.com/news/articles/2023-01-26/danish-defense-minister-calls-for-mandatory-enlistment-for-women?leadSource=uverify%20wall (last visited Mar 8, 2023).","noteIndex":97},"citationItems":[{"id":896,"uris":["http://zotero.org/users/10345638/items/BHXD7KT8"],"itemData":{"id":896,"type":"article-newspaper","container-title":"Bloomberg","title":"Denmark Calls for Mandatory Military Service for Women - Bloomberg","URL":"https://www.bloomberg.com/news/articles/2023-01-26/danish-defense-minister-calls-for-mandatory-enlistment-for-women?leadSource=uverify%20wall","author":[{"family":"Wienberg","given":"Christian"},{"family":"Schwartzkopff","given":"Frances"}],"accessed":{"date-parts":[["2023",3,8]]},"issued":{"date-parts":[["2023",1,26]]}}}],"schema":"https://github.com/citation-style-language/schema/raw/master/csl-citation.json"} </w:instrText>
      </w:r>
      <w:r w:rsidRPr="00010DF7">
        <w:fldChar w:fldCharType="separate"/>
      </w:r>
      <w:r w:rsidRPr="00010DF7">
        <w:rPr>
          <w:rFonts w:cs="Times New Roman"/>
          <w:lang w:val="en-GB"/>
        </w:rPr>
        <w:t xml:space="preserve">Christian Wienberg &amp; Frances Schwartzkopff, </w:t>
      </w:r>
      <w:r w:rsidRPr="00010DF7">
        <w:rPr>
          <w:rFonts w:cs="Times New Roman"/>
          <w:i/>
          <w:iCs/>
          <w:lang w:val="en-GB"/>
        </w:rPr>
        <w:t>Denmark Calls for Mandatory Military Service for Women - Bloomberg</w:t>
      </w:r>
      <w:r w:rsidRPr="00010DF7">
        <w:rPr>
          <w:rFonts w:cs="Times New Roman"/>
          <w:lang w:val="en-GB"/>
        </w:rPr>
        <w:t xml:space="preserve">, </w:t>
      </w:r>
      <w:r w:rsidRPr="00010DF7">
        <w:rPr>
          <w:rFonts w:cs="Times New Roman"/>
          <w:smallCaps/>
          <w:lang w:val="en-GB"/>
        </w:rPr>
        <w:t>Bloomberg</w:t>
      </w:r>
      <w:r w:rsidRPr="00010DF7">
        <w:rPr>
          <w:rFonts w:cs="Times New Roman"/>
          <w:lang w:val="en-GB"/>
        </w:rPr>
        <w:t>, Jan. 26, 2023, https://www.bloomberg.com/news/articles/2023-01-26/danish-defense-minister-calls-for-mandatory-enlistment-for-women?leadSource=uverify%20wall (last visited Mar 8, 2023).</w:t>
      </w:r>
      <w:r w:rsidRPr="00010DF7">
        <w:fldChar w:fldCharType="end"/>
      </w:r>
    </w:p>
  </w:footnote>
  <w:footnote w:id="111">
    <w:p w14:paraId="5FB2832F" w14:textId="77777777"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112">
    <w:p w14:paraId="31BB5781" w14:textId="5737B0CE" w:rsidR="00BA2975" w:rsidRPr="00010DF7" w:rsidRDefault="00BA2975">
      <w:pPr>
        <w:pStyle w:val="FootnoteText"/>
      </w:pPr>
      <w:r w:rsidRPr="00010DF7">
        <w:rPr>
          <w:rStyle w:val="FootnoteReference"/>
        </w:rPr>
        <w:footnoteRef/>
      </w:r>
      <w:r w:rsidRPr="00010DF7">
        <w:t xml:space="preserve"> </w:t>
      </w:r>
      <w:r w:rsidR="00065028" w:rsidRPr="00010DF7">
        <w:t xml:space="preserve">Ministry of Foreign Affairs Denmark, Danish Ministry of Defence, Danish Ministry of Justice (Justitsmisteriet), </w:t>
      </w:r>
      <w:r w:rsidR="00065028" w:rsidRPr="00010DF7">
        <w:rPr>
          <w:i/>
          <w:iCs/>
        </w:rPr>
        <w:t>Denmark’s National Action Plan on Women, Peace and Security</w:t>
      </w:r>
      <w:r w:rsidRPr="00010DF7">
        <w:rPr>
          <w:i/>
          <w:iCs/>
        </w:rPr>
        <w:t xml:space="preserve"> 2020-2024</w:t>
      </w:r>
      <w:r w:rsidR="00065028" w:rsidRPr="00010DF7">
        <w:t xml:space="preserve">, </w:t>
      </w:r>
      <w:r w:rsidR="00205D7D" w:rsidRPr="00010DF7">
        <w:t xml:space="preserve">(2020), </w:t>
      </w:r>
      <w:r w:rsidR="00065028" w:rsidRPr="00010DF7">
        <w:rPr>
          <w:rFonts w:cs="Times New Roman"/>
          <w:smallCaps/>
          <w:lang w:val="en-GB"/>
        </w:rPr>
        <w:t>Women’s International League for Peace and Freedom - 1325 NAPs Project</w:t>
      </w:r>
      <w:r w:rsidR="00065028" w:rsidRPr="00010DF7">
        <w:rPr>
          <w:rFonts w:cs="Times New Roman"/>
          <w:lang w:val="en-GB"/>
        </w:rPr>
        <w:t xml:space="preserve">, </w:t>
      </w:r>
      <w:hyperlink r:id="rId37" w:history="1">
        <w:r w:rsidR="00205D7D" w:rsidRPr="00010DF7">
          <w:rPr>
            <w:rStyle w:val="Hyperlink"/>
          </w:rPr>
          <w:t>https://gnwp.org/wp-content/uploads/Denmark-NAP-4-2020-2024.pdf</w:t>
        </w:r>
      </w:hyperlink>
      <w:r w:rsidR="00065028" w:rsidRPr="00010DF7">
        <w:t xml:space="preserve">. </w:t>
      </w:r>
    </w:p>
  </w:footnote>
  <w:footnote w:id="113">
    <w:p w14:paraId="4711DA19" w14:textId="053BD5CF" w:rsidR="00722DAA" w:rsidRPr="00010DF7" w:rsidRDefault="00722DAA">
      <w:pPr>
        <w:pStyle w:val="FootnoteText"/>
      </w:pPr>
      <w:r w:rsidRPr="00010DF7">
        <w:rPr>
          <w:rStyle w:val="FootnoteReference"/>
        </w:rPr>
        <w:footnoteRef/>
      </w:r>
      <w:r w:rsidRPr="00010DF7">
        <w:t xml:space="preserve"> </w:t>
      </w:r>
      <w:r w:rsidR="00855A99" w:rsidRPr="00010DF7">
        <w:t xml:space="preserve">Danish Ministry of Defence, </w:t>
      </w:r>
      <w:r w:rsidR="00855A99" w:rsidRPr="00010DF7">
        <w:rPr>
          <w:i/>
          <w:iCs/>
        </w:rPr>
        <w:t>Denmark’s national action plan for R1325 – women, peace and security 2020-2024 1 Ministry of Defence implementation</w:t>
      </w:r>
      <w:r w:rsidR="00855A99" w:rsidRPr="00010DF7">
        <w:t xml:space="preserve">, </w:t>
      </w:r>
      <w:hyperlink r:id="rId38" w:history="1">
        <w:r w:rsidRPr="00010DF7">
          <w:rPr>
            <w:rStyle w:val="Hyperlink"/>
          </w:rPr>
          <w:t>https://www.fmn.dk/globalassets/fmn/dokumenter/strategi/-ministry-of-defense-implementation-plan-2021-.pdf</w:t>
        </w:r>
      </w:hyperlink>
      <w:r w:rsidRPr="00010DF7">
        <w:t xml:space="preserve">. </w:t>
      </w:r>
    </w:p>
  </w:footnote>
  <w:footnote w:id="114">
    <w:p w14:paraId="0EB30A87" w14:textId="4771CD8E" w:rsidR="00DF021B" w:rsidRPr="00010DF7" w:rsidRDefault="00DF021B" w:rsidP="00DF021B">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{"citationID":"jbh8D7Je","properties":{"formattedCitation":"{\\scaps Anu Laas}, {\\i{}Estonia - Country Report Gender Equality 2022}, (2022), https://www.equalitylaw.eu/downloads/5686-estonia-country-report-gender-equality-2022-1-40-mb.","plainCitation":"Anu Laas, Estonia - Country Report Gender Equality 2022, (2022), https://www.equalitylaw.eu/downloads/5686-estonia-country-report-gender-equality-2022-1-40-mb.","dontUpdate":true,"noteIndex":101},"citationItems":[{"id":900,"uris":["http://zotero.org/users/10345638/items/IXH8CQP7"],"itemData":{"id":900,"type":"report","collection-title":"European Equality Law Network","event-place":"Luxembourg: Publications Office of the European Union","publisher":"EU Commission. Directorate-General for Justice and Consumers.","publisher-place":"Luxembourg: Publications Office of the European Union","title":"Estonia - Country Report Gender Equality 2022","URL":"https://www.equalitylaw.eu/downloads/5686-estonia-country-report-gender-equality-2022-1-40-mb","author":[{"family":"Laas","given":"Anu"}],"issued":{"date-parts":[["2022"]]}}}],"schema":"https://github.com/citation-style-language/schema/raw/master/csl-citation.json"} </w:instrText>
      </w:r>
      <w:r w:rsidRPr="00010DF7">
        <w:fldChar w:fldCharType="separate"/>
      </w:r>
      <w:r w:rsidRPr="00010DF7">
        <w:rPr>
          <w:rFonts w:hAnsiTheme="majorHAnsi" w:cs="Times New Roman"/>
          <w:smallCaps/>
          <w:lang w:val="en-GB"/>
        </w:rPr>
        <w:t>Anu Laas</w:t>
      </w:r>
      <w:r w:rsidRPr="00010DF7">
        <w:rPr>
          <w:rFonts w:hAnsiTheme="majorHAnsi" w:cs="Times New Roman"/>
          <w:lang w:val="en-GB"/>
        </w:rPr>
        <w:t xml:space="preserve">, </w:t>
      </w:r>
      <w:r w:rsidRPr="00010DF7">
        <w:rPr>
          <w:rFonts w:hAnsiTheme="majorHAnsi" w:cs="Times New Roman"/>
          <w:i/>
          <w:iCs/>
          <w:lang w:val="en-GB"/>
        </w:rPr>
        <w:t>Estonia - Country Report Gender Equality 2022</w:t>
      </w:r>
      <w:r w:rsidRPr="00010DF7">
        <w:rPr>
          <w:rFonts w:hAnsiTheme="majorHAnsi" w:cs="Times New Roman"/>
          <w:lang w:val="en-GB"/>
        </w:rPr>
        <w:t>, at 37(2022), https://www.equalitylaw.eu/downloads/5686-estonia-country-report-gender-equality-2022-1-40-mb.</w:t>
      </w:r>
      <w:r w:rsidRPr="00010DF7">
        <w:fldChar w:fldCharType="end"/>
      </w:r>
    </w:p>
  </w:footnote>
  <w:footnote w:id="115">
    <w:p w14:paraId="13C957D8" w14:textId="772AFCBF" w:rsidR="000F29B9" w:rsidRPr="00010DF7" w:rsidRDefault="000F29B9">
      <w:pPr>
        <w:pStyle w:val="FootnoteText"/>
      </w:pPr>
      <w:r w:rsidRPr="00010DF7">
        <w:rPr>
          <w:rStyle w:val="FootnoteReference"/>
        </w:rPr>
        <w:footnoteRef/>
      </w:r>
      <w:r w:rsidRPr="00010DF7">
        <w:t xml:space="preserve"> Gender Equatlity Act </w:t>
      </w:r>
      <w:r w:rsidR="00182D20" w:rsidRPr="00010DF7">
        <w:t>[Soolise võrdõiguslikkuse seadus]</w:t>
      </w:r>
      <w:r w:rsidR="002F3DD2" w:rsidRPr="00010DF7">
        <w:t>, §1</w:t>
      </w:r>
      <w:r w:rsidR="00182D20" w:rsidRPr="00010DF7">
        <w:t> </w:t>
      </w:r>
      <w:r w:rsidR="002F3DD2" w:rsidRPr="00010DF7">
        <w:t xml:space="preserve">RT I, 06.07.2012, 1, </w:t>
      </w:r>
      <w:hyperlink r:id="rId39" w:history="1">
        <w:r w:rsidR="002F3DD2" w:rsidRPr="00010DF7">
          <w:rPr>
            <w:rStyle w:val="Hyperlink"/>
          </w:rPr>
          <w:t>https://www.riigiteataja.ee/en/eli/509072014003/consolide</w:t>
        </w:r>
      </w:hyperlink>
      <w:r w:rsidR="002F3DD2" w:rsidRPr="00010DF7">
        <w:t xml:space="preserve">. </w:t>
      </w:r>
    </w:p>
  </w:footnote>
  <w:footnote w:id="116">
    <w:p w14:paraId="58647853" w14:textId="55EB770E" w:rsidR="00E17EF6" w:rsidRPr="00010DF7" w:rsidRDefault="00E17EF6">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{"citationID":"lTZ2Og4d","properties":{"formattedCitation":"ERR | ERR, {\\i{}Estonia looks to Sweden for women\\uc0\\u8217{}s national defense recruitment model}, {\\scaps ERR} (2022), https://news.err.ee/1608617071/estonia-looks-to-sweden-for-women-s-national-defense-recruitment-model (last visited Mar 9, 2023).","plainCitation":"ERR | ERR, Estonia looks to Sweden for women’s national defense recruitment model, ERR (2022), https://news.err.ee/1608617071/estonia-looks-to-sweden-for-women-s-national-defense-recruitment-model (last visited Mar 9, 2023).","dontUpdate":true,"noteIndex":103},"citationItems":[{"id":902,"uris":["http://zotero.org/users/10345638/items/ZWHHXJV2"],"itemData":{"id":902,"type":"webpage","abstract":"The number of girls interested in joining the national defense in Estonia is growing rapidly, as is the number of women joining the military.","container-title":"ERR","language":"en","note":"section: News","title":"Estonia looks to Sweden for women's national defense recruitment model","URL":"https://news.err.ee/1608617071/estonia-looks-to-sweden-for-women-s-national-defense-recruitment-model","author":[{"family":"ERR","given":"ERR |"}],"accessed":{"date-parts":[["2023",3,9]]},"issued":{"date-parts":[["2022",6,2]]}}}],"schema":"https://github.com/citation-style-language/schema/raw/master/csl-citation.json"} </w:instrText>
      </w:r>
      <w:r w:rsidRPr="00010DF7">
        <w:fldChar w:fldCharType="separate"/>
      </w:r>
      <w:r w:rsidRPr="00010DF7">
        <w:rPr>
          <w:rFonts w:cs="Times New Roman"/>
          <w:lang w:val="en-GB"/>
        </w:rPr>
        <w:t xml:space="preserve">ERR, </w:t>
      </w:r>
      <w:r w:rsidRPr="00010DF7">
        <w:rPr>
          <w:rFonts w:cs="Times New Roman"/>
          <w:i/>
          <w:iCs/>
          <w:lang w:val="en-GB"/>
        </w:rPr>
        <w:t>Estonia looks to Sweden for women’s national defense recruitment model</w:t>
      </w:r>
      <w:r w:rsidRPr="00010DF7">
        <w:rPr>
          <w:rFonts w:cs="Times New Roman"/>
          <w:lang w:val="en-GB"/>
        </w:rPr>
        <w:t xml:space="preserve">, </w:t>
      </w:r>
      <w:r w:rsidRPr="00010DF7">
        <w:rPr>
          <w:rFonts w:cs="Times New Roman"/>
          <w:smallCaps/>
          <w:lang w:val="en-GB"/>
        </w:rPr>
        <w:t>ERR</w:t>
      </w:r>
      <w:r w:rsidRPr="00010DF7">
        <w:rPr>
          <w:rFonts w:cs="Times New Roman"/>
          <w:lang w:val="en-GB"/>
        </w:rPr>
        <w:t xml:space="preserve"> (2022), https://news.err.ee/1608617071/estonia-looks-to-sweden-for-women-s-national-defense-recruitment-model (last visited Mar 9, 2023).</w:t>
      </w:r>
      <w:r w:rsidRPr="00010DF7">
        <w:fldChar w:fldCharType="end"/>
      </w:r>
    </w:p>
  </w:footnote>
  <w:footnote w:id="117">
    <w:p w14:paraId="25F1A4F1" w14:textId="0BCD5015" w:rsidR="002F3DD2" w:rsidRPr="00010DF7" w:rsidRDefault="002F3DD2" w:rsidP="002F3DD2">
      <w:pPr>
        <w:pStyle w:val="FootnoteText"/>
      </w:pPr>
      <w:r w:rsidRPr="00010DF7">
        <w:rPr>
          <w:rStyle w:val="FootnoteReference"/>
        </w:rPr>
        <w:footnoteRef/>
      </w:r>
      <w:r w:rsidRPr="00010DF7">
        <w:t xml:space="preserve"> Gender Equatlity Act [Soolise võrdõiguslikkuse seadus], §5(2)(2), RT I, 06.07.2012, 1, </w:t>
      </w:r>
      <w:hyperlink r:id="rId40" w:history="1">
        <w:r w:rsidRPr="00010DF7">
          <w:rPr>
            <w:rStyle w:val="Hyperlink"/>
          </w:rPr>
          <w:t>https://www.riigiteataja.ee/en/eli/509072014003/consolide</w:t>
        </w:r>
      </w:hyperlink>
      <w:r w:rsidRPr="00010DF7">
        <w:t xml:space="preserve">. </w:t>
      </w:r>
    </w:p>
  </w:footnote>
  <w:footnote w:id="118">
    <w:p w14:paraId="007D2C65" w14:textId="5EB51683" w:rsidR="00413ABE" w:rsidRPr="00010DF7" w:rsidRDefault="00413ABE" w:rsidP="00413ABE">
      <w:pPr>
        <w:pStyle w:val="FootnoteText"/>
        <w:rPr>
          <w:i/>
          <w:iCs/>
        </w:rPr>
      </w:pPr>
      <w:r w:rsidRPr="00010DF7">
        <w:rPr>
          <w:rStyle w:val="FootnoteReference"/>
        </w:rPr>
        <w:footnoteRef/>
      </w:r>
      <w:r w:rsidRPr="00010DF7">
        <w:t xml:space="preserve"> </w:t>
      </w:r>
      <w:r w:rsidRPr="00010DF7">
        <w:rPr>
          <w:i/>
          <w:iCs/>
        </w:rPr>
        <w:t>Estonia’s Action Plan for the Implementation of the UN Security Council Resolution 1325 on Women and Peace and Security, 2020–2025,</w:t>
      </w:r>
      <w:r w:rsidRPr="00010DF7">
        <w:t xml:space="preserve"> (2020), </w:t>
      </w:r>
      <w:r w:rsidRPr="00010DF7">
        <w:rPr>
          <w:smallCaps/>
          <w:lang w:val="en-GB"/>
        </w:rPr>
        <w:t>Women’s International League for Peace and Freedom - 1325 NAPs Project</w:t>
      </w:r>
      <w:r w:rsidRPr="00010DF7">
        <w:rPr>
          <w:lang w:val="en-GB"/>
        </w:rPr>
        <w:t>,</w:t>
      </w:r>
      <w:r w:rsidR="009619ED" w:rsidRPr="00010DF7">
        <w:t xml:space="preserve"> at</w:t>
      </w:r>
      <w:r w:rsidR="009619ED" w:rsidRPr="00010DF7">
        <w:rPr>
          <w:i/>
          <w:iCs/>
        </w:rPr>
        <w:t xml:space="preserve"> </w:t>
      </w:r>
      <w:r w:rsidR="009619ED" w:rsidRPr="00010DF7">
        <w:t>14-15,</w:t>
      </w:r>
      <w:r w:rsidRPr="00010DF7">
        <w:rPr>
          <w:lang w:val="en-GB"/>
        </w:rPr>
        <w:t xml:space="preserve"> </w:t>
      </w:r>
      <w:hyperlink r:id="rId41" w:history="1">
        <w:r w:rsidRPr="00010DF7">
          <w:rPr>
            <w:rStyle w:val="Hyperlink"/>
            <w:lang w:val="en-GB"/>
          </w:rPr>
          <w:t>http://1325naps.peacewomen.org/wp-content/uploads/2022/02/EE-NAP-Women-Peace-Security-2020-2025-ENG.pdf</w:t>
        </w:r>
      </w:hyperlink>
      <w:r w:rsidRPr="00010DF7">
        <w:rPr>
          <w:lang w:val="en-GB"/>
        </w:rPr>
        <w:t xml:space="preserve">. </w:t>
      </w:r>
    </w:p>
  </w:footnote>
  <w:footnote w:id="119">
    <w:p w14:paraId="5EBFB802" w14:textId="44CB7DCB" w:rsidR="00C8589A" w:rsidRPr="00010DF7" w:rsidRDefault="00C8589A" w:rsidP="00C8589A">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{"citationID":"7skNDZSJ","properties":{"formattedCitation":"Hungary - Women, Peace, Security, https://www.globalwps.org/details/HUN (last visited Mar 13, 2023).","plainCitation":"Hungary - Women, Peace, Security, https://www.globalwps.org/details/HUN (last visited Mar 13, 2023).","dontUpdate":true,"noteIndex":106},"citationItems":[{"id":946,"uris":["http://zotero.org/users/10345638/items/EKXJ9478"],"itemData":{"id":946,"type":"webpage","title":"Hungary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007B4F17" w:rsidRPr="00010DF7">
        <w:rPr>
          <w:noProof/>
        </w:rPr>
        <w:t>Estonia</w:t>
      </w:r>
      <w:r w:rsidRPr="00010DF7">
        <w:rPr>
          <w:noProof/>
        </w:rPr>
        <w:t xml:space="preserve">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w:t>
      </w:r>
      <w:r w:rsidR="007B4F17" w:rsidRPr="00010DF7">
        <w:rPr>
          <w:noProof/>
        </w:rPr>
        <w:t>https://www.globalwps.org/details/EST</w:t>
      </w:r>
      <w:r w:rsidRPr="00010DF7">
        <w:rPr>
          <w:noProof/>
        </w:rPr>
        <w:t xml:space="preserve"> (last visited Mar</w:t>
      </w:r>
      <w:r w:rsidR="00A63083" w:rsidRPr="00010DF7">
        <w:rPr>
          <w:noProof/>
        </w:rPr>
        <w:t>.</w:t>
      </w:r>
      <w:r w:rsidRPr="00010DF7">
        <w:rPr>
          <w:noProof/>
        </w:rPr>
        <w:t xml:space="preserve"> 13, 2023).</w:t>
      </w:r>
      <w:r w:rsidRPr="00010DF7">
        <w:fldChar w:fldCharType="end"/>
      </w:r>
    </w:p>
  </w:footnote>
  <w:footnote w:id="120">
    <w:p w14:paraId="2E32FC75" w14:textId="77777777" w:rsidR="002E365B" w:rsidRPr="00010DF7" w:rsidRDefault="002E365B" w:rsidP="002E365B">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121">
    <w:p w14:paraId="5848332D" w14:textId="77777777" w:rsidR="0028135F" w:rsidRPr="00010DF7" w:rsidRDefault="0028135F" w:rsidP="0028135F">
      <w:pPr>
        <w:pStyle w:val="FootnoteText"/>
      </w:pPr>
      <w:r w:rsidRPr="00010DF7">
        <w:rPr>
          <w:rStyle w:val="FootnoteReference"/>
        </w:rPr>
        <w:footnoteRef/>
      </w:r>
      <w:r w:rsidRPr="00010DF7">
        <w:t xml:space="preserve"> Military Service Act [Kaitseväeteenistuse seadus]  RT I, 29.06.2014, 101, </w:t>
      </w:r>
      <w:hyperlink r:id="rId42" w:history="1">
        <w:r w:rsidRPr="00010DF7">
          <w:rPr>
            <w:rStyle w:val="Hyperlink"/>
          </w:rPr>
          <w:t>https://www.riigiteataja.ee/en/eli/519092014003/consolide</w:t>
        </w:r>
      </w:hyperlink>
      <w:r w:rsidRPr="00010DF7">
        <w:t xml:space="preserve">. </w:t>
      </w:r>
    </w:p>
  </w:footnote>
  <w:footnote w:id="122">
    <w:p w14:paraId="758B68B0" w14:textId="479F6DD8" w:rsidR="002E365B" w:rsidRPr="00010DF7" w:rsidRDefault="002E365B" w:rsidP="00413ABE">
      <w:pPr>
        <w:pStyle w:val="FootnoteText"/>
        <w:rPr>
          <w:i/>
          <w:iCs/>
        </w:rPr>
      </w:pPr>
      <w:r w:rsidRPr="00010DF7">
        <w:rPr>
          <w:rStyle w:val="FootnoteReference"/>
        </w:rPr>
        <w:footnoteRef/>
      </w:r>
      <w:r w:rsidRPr="00010DF7">
        <w:t xml:space="preserve"> </w:t>
      </w:r>
      <w:r w:rsidR="00413ABE" w:rsidRPr="00010DF7">
        <w:rPr>
          <w:i/>
          <w:iCs/>
        </w:rPr>
        <w:t xml:space="preserve">Estonia’s Action Plan for the Implementation of the UN Security Council Resolution 1325 on Women and Peace and Security, 2020–2025, </w:t>
      </w:r>
      <w:r w:rsidR="00413ABE" w:rsidRPr="00010DF7">
        <w:t xml:space="preserve">(2020), </w:t>
      </w:r>
      <w:r w:rsidR="00413ABE" w:rsidRPr="00010DF7">
        <w:rPr>
          <w:lang w:val="en-GB"/>
        </w:rPr>
        <w:t xml:space="preserve">Women’s International League for Peace and Freedom - 1325 NAPs Project, </w:t>
      </w:r>
      <w:hyperlink r:id="rId43" w:history="1">
        <w:r w:rsidR="00413ABE" w:rsidRPr="00010DF7">
          <w:rPr>
            <w:rStyle w:val="Hyperlink"/>
            <w:lang w:val="en-GB"/>
          </w:rPr>
          <w:t>http://1325naps.peacewomen.org/wp-content/uploads/2022/02/EE-NAP-Women-Peace-Security-2020-2025-ENG.pdf</w:t>
        </w:r>
      </w:hyperlink>
      <w:r w:rsidR="00413ABE" w:rsidRPr="00010DF7">
        <w:rPr>
          <w:lang w:val="en-GB"/>
        </w:rPr>
        <w:t xml:space="preserve">. </w:t>
      </w:r>
    </w:p>
  </w:footnote>
  <w:footnote w:id="123">
    <w:p w14:paraId="5F377C63" w14:textId="33416895" w:rsidR="00EA6D3F" w:rsidRPr="00010DF7" w:rsidRDefault="00EA6D3F" w:rsidP="003B6D2B">
      <w:pPr>
        <w:pStyle w:val="FootnoteText"/>
      </w:pPr>
      <w:r w:rsidRPr="00010DF7">
        <w:rPr>
          <w:rStyle w:val="FootnoteReference"/>
        </w:rPr>
        <w:footnoteRef/>
      </w:r>
      <w:r w:rsidRPr="00010DF7">
        <w:t xml:space="preserve"> Leena Vastapuu &amp; Minna Lyytikäinen, </w:t>
      </w:r>
      <w:r w:rsidRPr="00010DF7">
        <w:rPr>
          <w:i/>
          <w:iCs/>
        </w:rPr>
        <w:t>Gender Equality in Finnish Foreign Affairs from 2019 to 2022</w:t>
      </w:r>
      <w:r w:rsidRPr="00010DF7">
        <w:t xml:space="preserve">, Nov. 2022, </w:t>
      </w:r>
      <w:r w:rsidRPr="00010DF7">
        <w:rPr>
          <w:smallCaps/>
        </w:rPr>
        <w:t xml:space="preserve">Ministry for Foreign Affairs of Finland, </w:t>
      </w:r>
      <w:r w:rsidRPr="00010DF7">
        <w:t>at 10</w:t>
      </w:r>
      <w:r w:rsidRPr="00010DF7">
        <w:rPr>
          <w:smallCaps/>
        </w:rPr>
        <w:t xml:space="preserve">, </w:t>
      </w:r>
      <w:hyperlink r:id="rId44" w:history="1">
        <w:r w:rsidRPr="00010DF7">
          <w:rPr>
            <w:rStyle w:val="Hyperlink"/>
          </w:rPr>
          <w:t>https://um.fi/documents/35732/0/Gender+equality+in+foreign+affairs_Vastapuu_Lyytikainen.pdf/4aef250d-4d89-41cd-d390-6059951d4aa9?t=1668426670061</w:t>
        </w:r>
      </w:hyperlink>
      <w:r w:rsidRPr="00010DF7">
        <w:t>.</w:t>
      </w:r>
    </w:p>
  </w:footnote>
  <w:footnote w:id="124">
    <w:p w14:paraId="03B9B3BB" w14:textId="77777777" w:rsidR="005F2362" w:rsidRPr="001E18D0" w:rsidRDefault="005F2362" w:rsidP="005F2362">
      <w:pPr>
        <w:pStyle w:val="FootnoteText"/>
      </w:pPr>
      <w:r>
        <w:rPr>
          <w:rStyle w:val="FootnoteReference"/>
        </w:rPr>
        <w:footnoteRef/>
      </w:r>
      <w:r>
        <w:t xml:space="preserve"> </w:t>
      </w:r>
      <w:r w:rsidRPr="001E18D0">
        <w:t xml:space="preserve">CEDAW, </w:t>
      </w:r>
      <w:r w:rsidRPr="001E18D0">
        <w:rPr>
          <w:i/>
          <w:iCs/>
        </w:rPr>
        <w:t>Concluding observations on the eighth periodic report of Finland</w:t>
      </w:r>
      <w:r w:rsidRPr="001E18D0">
        <w:t>, C/FIN/CO/8(2022), para. 2</w:t>
      </w:r>
      <w:r>
        <w:t>7</w:t>
      </w:r>
      <w:r w:rsidRPr="001E18D0">
        <w:t>.</w:t>
      </w:r>
    </w:p>
  </w:footnote>
  <w:footnote w:id="125">
    <w:p w14:paraId="6A61FB6D" w14:textId="77777777" w:rsidR="004F6A3C" w:rsidRPr="00010DF7" w:rsidRDefault="004F6A3C" w:rsidP="004F6A3C">
      <w:pPr>
        <w:pStyle w:val="FootnoteText"/>
      </w:pPr>
      <w:r w:rsidRPr="00010DF7">
        <w:rPr>
          <w:rStyle w:val="FootnoteReference"/>
        </w:rPr>
        <w:footnoteRef/>
      </w:r>
      <w:r w:rsidRPr="00010DF7">
        <w:t xml:space="preserve"> CEDAW, </w:t>
      </w:r>
      <w:r w:rsidRPr="00010DF7">
        <w:rPr>
          <w:i/>
          <w:iCs/>
        </w:rPr>
        <w:t>Concluding observations on the eighth periodic report of Finland</w:t>
      </w:r>
      <w:r w:rsidRPr="00010DF7">
        <w:t>, C/FIN/CO/8 (2022), at paras. 27-28.</w:t>
      </w:r>
    </w:p>
  </w:footnote>
  <w:footnote w:id="126">
    <w:p w14:paraId="7C2259D0" w14:textId="35B8E187" w:rsidR="00C9109D" w:rsidRPr="00010DF7" w:rsidRDefault="00C9109D" w:rsidP="00C9109D">
      <w:pPr>
        <w:pStyle w:val="FootnoteText"/>
      </w:pPr>
      <w:r w:rsidRPr="00010DF7">
        <w:rPr>
          <w:rStyle w:val="FootnoteReference"/>
        </w:rPr>
        <w:footnoteRef/>
      </w:r>
      <w:r w:rsidRPr="00010DF7">
        <w:t xml:space="preserve"> Leena Vastapuu &amp; Minna Lyytikäinen, </w:t>
      </w:r>
      <w:r w:rsidRPr="00010DF7">
        <w:rPr>
          <w:i/>
          <w:iCs/>
        </w:rPr>
        <w:t>Gender Equality in Finnish Foreign Affairs from 2019 to 2022</w:t>
      </w:r>
      <w:r w:rsidRPr="00010DF7">
        <w:t xml:space="preserve">, Nov. 2022, </w:t>
      </w:r>
      <w:r w:rsidRPr="00010DF7">
        <w:rPr>
          <w:smallCaps/>
        </w:rPr>
        <w:t xml:space="preserve">Ministry for Foreign Affairs of Finland, </w:t>
      </w:r>
      <w:r w:rsidRPr="00010DF7">
        <w:t xml:space="preserve">at </w:t>
      </w:r>
      <w:r w:rsidR="00FF39C1" w:rsidRPr="00010DF7">
        <w:t>12</w:t>
      </w:r>
      <w:r w:rsidRPr="00010DF7">
        <w:rPr>
          <w:smallCaps/>
        </w:rPr>
        <w:t xml:space="preserve">, </w:t>
      </w:r>
      <w:hyperlink r:id="rId45" w:history="1">
        <w:r w:rsidRPr="00010DF7">
          <w:rPr>
            <w:rStyle w:val="Hyperlink"/>
          </w:rPr>
          <w:t>https://um.fi/documents/35732/0/Gender+equality+in+foreign+affairs_Vastapuu_Lyytikainen.pdf/4aef250d-4d89-41cd-d390-6059951d4aa9?t=1668426670061</w:t>
        </w:r>
      </w:hyperlink>
      <w:r w:rsidRPr="00010DF7">
        <w:t>.</w:t>
      </w:r>
    </w:p>
  </w:footnote>
  <w:footnote w:id="127">
    <w:p w14:paraId="5C9FB665" w14:textId="77777777"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128">
    <w:p w14:paraId="495CB7CF" w14:textId="402C1EC5" w:rsidR="00C612B5" w:rsidRPr="00010DF7" w:rsidRDefault="00C612B5" w:rsidP="00632E41">
      <w:pPr>
        <w:pStyle w:val="FootnoteText"/>
      </w:pPr>
      <w:r w:rsidRPr="00010DF7">
        <w:rPr>
          <w:rStyle w:val="FootnoteReference"/>
        </w:rPr>
        <w:footnoteRef/>
      </w:r>
      <w:r w:rsidRPr="00010DF7">
        <w:t xml:space="preserve"> </w:t>
      </w:r>
      <w:r w:rsidR="00632E41" w:rsidRPr="00010DF7">
        <w:t xml:space="preserve">Ministry for Foreign Affairs of Finland, </w:t>
      </w:r>
      <w:r w:rsidR="00632E41" w:rsidRPr="00010DF7">
        <w:rPr>
          <w:i/>
          <w:iCs/>
        </w:rPr>
        <w:t>Women, Peace and Security Finland’s National Action Plan 2018-2021</w:t>
      </w:r>
      <w:r w:rsidR="00632E41" w:rsidRPr="00010DF7">
        <w:t xml:space="preserve">, (2018), </w:t>
      </w:r>
      <w:r w:rsidR="00632E41" w:rsidRPr="00010DF7">
        <w:rPr>
          <w:smallCaps/>
          <w:lang w:val="en-GB"/>
        </w:rPr>
        <w:t>Women’s International League for Peace and Freedom - 1325 NAPs Project</w:t>
      </w:r>
      <w:r w:rsidR="00632E41" w:rsidRPr="00010DF7">
        <w:rPr>
          <w:lang w:val="en-GB"/>
        </w:rPr>
        <w:t>,</w:t>
      </w:r>
      <w:r w:rsidR="00A05C94" w:rsidRPr="00010DF7">
        <w:rPr>
          <w:lang w:val="en-GB"/>
        </w:rPr>
        <w:t xml:space="preserve"> </w:t>
      </w:r>
      <w:hyperlink r:id="rId46" w:history="1">
        <w:r w:rsidR="00A05C94" w:rsidRPr="00010DF7">
          <w:rPr>
            <w:rStyle w:val="Hyperlink"/>
          </w:rPr>
          <w:t>https://www.peacewomen.org/sites/default/files/03_18_Women_Peace_Security%20(1)%20(2).pdf</w:t>
        </w:r>
      </w:hyperlink>
      <w:r w:rsidR="00A05C94" w:rsidRPr="00010DF7">
        <w:t xml:space="preserve">. </w:t>
      </w:r>
    </w:p>
  </w:footnote>
  <w:footnote w:id="129">
    <w:p w14:paraId="5CD3F01A" w14:textId="3D65E67D" w:rsidR="0038708C" w:rsidRPr="00010DF7" w:rsidRDefault="004B5126" w:rsidP="00EA3D09">
      <w:pPr>
        <w:pStyle w:val="FootnoteText"/>
      </w:pPr>
      <w:r w:rsidRPr="00010DF7">
        <w:rPr>
          <w:rStyle w:val="FootnoteReference"/>
        </w:rPr>
        <w:footnoteRef/>
      </w:r>
      <w:r w:rsidRPr="00010DF7">
        <w:rPr>
          <w:lang w:val="fr-FR"/>
        </w:rPr>
        <w:t xml:space="preserve"> </w:t>
      </w:r>
      <w:r w:rsidR="00EA3D09" w:rsidRPr="00010DF7">
        <w:rPr>
          <w:lang w:val="fr-FR"/>
        </w:rPr>
        <w:t xml:space="preserve">Code général de la fonction publique [General Civil Service Code], art. </w:t>
      </w:r>
      <w:r w:rsidR="00EA3D09" w:rsidRPr="00010DF7">
        <w:t>L132-5 (Fr.)</w:t>
      </w:r>
      <w:r w:rsidR="0038708C" w:rsidRPr="00010DF7">
        <w:t>.</w:t>
      </w:r>
    </w:p>
  </w:footnote>
  <w:footnote w:id="130">
    <w:p w14:paraId="4E0C067C" w14:textId="3716A21E" w:rsidR="00AB3AE1" w:rsidRPr="00010DF7" w:rsidRDefault="00AB3AE1" w:rsidP="00B23510">
      <w:pPr>
        <w:pStyle w:val="FootnoteText"/>
      </w:pPr>
      <w:r w:rsidRPr="00010DF7">
        <w:rPr>
          <w:rStyle w:val="FootnoteReference"/>
        </w:rPr>
        <w:footnoteRef/>
      </w:r>
      <w:r w:rsidRPr="00010DF7">
        <w:t xml:space="preserve"> </w:t>
      </w:r>
      <w:r w:rsidR="00A90EB3" w:rsidRPr="00010DF7">
        <w:t xml:space="preserve">French Ministry for Europe and Foreign Affairs, </w:t>
      </w:r>
      <w:r w:rsidR="00A90EB3" w:rsidRPr="00010DF7">
        <w:rPr>
          <w:i/>
          <w:iCs/>
        </w:rPr>
        <w:t>France’s International Strategy On Gender Equality</w:t>
      </w:r>
      <w:r w:rsidR="00A90EB3" w:rsidRPr="00010DF7">
        <w:t xml:space="preserve"> </w:t>
      </w:r>
      <w:r w:rsidR="00A90EB3" w:rsidRPr="00010DF7">
        <w:rPr>
          <w:i/>
          <w:iCs/>
        </w:rPr>
        <w:t>(2018–2022)</w:t>
      </w:r>
      <w:r w:rsidR="00A90EB3" w:rsidRPr="00010DF7">
        <w:t xml:space="preserve">, </w:t>
      </w:r>
      <w:r w:rsidR="00B23510" w:rsidRPr="00010DF7">
        <w:t xml:space="preserve">2018, </w:t>
      </w:r>
      <w:r w:rsidRPr="00010DF7">
        <w:t xml:space="preserve">at 23, </w:t>
      </w:r>
      <w:hyperlink r:id="rId47" w:history="1">
        <w:r w:rsidRPr="00010DF7">
          <w:rPr>
            <w:rStyle w:val="Hyperlink"/>
          </w:rPr>
          <w:t>https://www.diplomatie.gouv.fr/IMG/pdf/meae_strategie_-__en_cle076525.pdf</w:t>
        </w:r>
      </w:hyperlink>
      <w:r w:rsidRPr="00010DF7">
        <w:t xml:space="preserve">. </w:t>
      </w:r>
    </w:p>
  </w:footnote>
  <w:footnote w:id="131">
    <w:p w14:paraId="54DF8795" w14:textId="2DE365A7" w:rsidR="006611EE" w:rsidRPr="00010DF7" w:rsidRDefault="006611EE">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{"citationID":"SbEXBpcO","properties":{"formattedCitation":"Minist\\uc0\\u232{}re de l\\uc0\\u8217{}Europe et des Affaires \\uc0\\u233{}trang\\uc0\\u232{}res, {\\i{}Gender equality at the Ministry for Europe and Foreign Affairs}, {\\scaps France Diplomacy - Ministry for Europe and Foreign Affairs}, https://www.diplomatie.gouv.fr/en/the-ministry-and-its-network/gender-equality-at-the-ministry-for-europe-and-foreign-affairs/ (last visited Mar 12, 2023).","plainCitation":"Ministère de l’Europe et des Affaires étrangères, Gender equality at the Ministry for Europe and Foreign Affairs, France Diplomacy - Ministry for Europe and Foreign Affairs, https://www.diplomatie.gouv.fr/en/the-ministry-and-its-network/gender-equality-at-the-ministry-for-europe-and-foreign-affairs/ (last visited Mar 12, 2023).","noteIndex":117},"citationItems":[{"id":938,"uris":["http://zotero.org/users/10345638/items/ADMPBIN6"],"itemData":{"id":938,"type":"webpage","abstract":"Gender equality is the “great national cause” of President Macron's term. At the Ministry for Europe and Foreign Affairs, the issue of gender equality is being addressed at two levels: internally, to improve occupational equality, and externally, under France's foreign policy.","container-title":"France Diplomacy - Ministry for Europe and Foreign Affairs","language":"en","title":"Gender equality at the Ministry for Europe and Foreign Affairs","URL":"https://www.diplomatie.gouv.fr/en/the-ministry-and-its-network/gender-equality-at-the-ministry-for-europe-and-foreign-affairs/","author":[{"family":"étrangères","given":"Ministère de l'Europe et des Affaires"}],"accessed":{"date-parts":[["2023",3,12]]}}}],"schema":"https://github.com/citation-style-language/schema/raw/master/csl-citation.json"} </w:instrText>
      </w:r>
      <w:r w:rsidRPr="00010DF7">
        <w:fldChar w:fldCharType="separate"/>
      </w:r>
      <w:r w:rsidR="00255C12" w:rsidRPr="00010DF7">
        <w:rPr>
          <w:rFonts w:cs="Times New Roman"/>
          <w:lang w:val="en-GB"/>
        </w:rPr>
        <w:t xml:space="preserve">Ministère de l’Europe et des Affaires étrangères, </w:t>
      </w:r>
      <w:r w:rsidR="00255C12" w:rsidRPr="00010DF7">
        <w:rPr>
          <w:rFonts w:cs="Times New Roman"/>
          <w:i/>
          <w:iCs/>
          <w:lang w:val="en-GB"/>
        </w:rPr>
        <w:t>Gender equality at the Ministry for Europe and Foreign Affairs</w:t>
      </w:r>
      <w:r w:rsidR="00255C12" w:rsidRPr="00010DF7">
        <w:rPr>
          <w:rFonts w:cs="Times New Roman"/>
          <w:lang w:val="en-GB"/>
        </w:rPr>
        <w:t xml:space="preserve">, </w:t>
      </w:r>
      <w:r w:rsidR="00255C12" w:rsidRPr="00010DF7">
        <w:rPr>
          <w:rFonts w:cs="Times New Roman"/>
          <w:smallCaps/>
          <w:lang w:val="en-GB"/>
        </w:rPr>
        <w:t>France Diplomacy - Ministry for Europe and Foreign Affairs</w:t>
      </w:r>
      <w:r w:rsidR="00255C12" w:rsidRPr="00010DF7">
        <w:rPr>
          <w:rFonts w:cs="Times New Roman"/>
          <w:lang w:val="en-GB"/>
        </w:rPr>
        <w:t>, https://www.diplomatie.gouv.fr/en/the-ministry-and-its-network/gender-equality-at-the-ministry-for-europe-and-foreign-affairs/ (last visited Mar 12, 2023).</w:t>
      </w:r>
      <w:r w:rsidRPr="00010DF7">
        <w:fldChar w:fldCharType="end"/>
      </w:r>
    </w:p>
  </w:footnote>
  <w:footnote w:id="132">
    <w:p w14:paraId="5AD3F875" w14:textId="1710137D" w:rsidR="00DC725C" w:rsidRPr="00010DF7" w:rsidRDefault="00DC725C">
      <w:pPr>
        <w:pStyle w:val="FootnoteText"/>
        <w:rPr>
          <w:lang w:val="fr-FR"/>
        </w:rPr>
      </w:pPr>
      <w:r w:rsidRPr="00010DF7">
        <w:rPr>
          <w:rStyle w:val="FootnoteReference"/>
        </w:rPr>
        <w:footnoteRef/>
      </w:r>
      <w:r w:rsidR="006B27DF" w:rsidRPr="00010DF7">
        <w:rPr>
          <w:lang w:val="fr-FR"/>
        </w:rPr>
        <w:t xml:space="preserve">Brigitte Grésy et al., </w:t>
      </w:r>
      <w:r w:rsidR="006B27DF" w:rsidRPr="00010DF7">
        <w:rPr>
          <w:i/>
          <w:iCs/>
          <w:lang w:val="fr-FR"/>
        </w:rPr>
        <w:t>La diplomatie féministe D’un slogan mobilisateur à une véritable dynamique de changement?</w:t>
      </w:r>
      <w:r w:rsidR="005E10AD" w:rsidRPr="00010DF7">
        <w:rPr>
          <w:lang w:val="fr-FR"/>
        </w:rPr>
        <w:t xml:space="preserve"> </w:t>
      </w:r>
      <w:r w:rsidR="005E10AD" w:rsidRPr="00010DF7">
        <w:rPr>
          <w:smallCaps/>
          <w:lang w:val="fr-FR"/>
        </w:rPr>
        <w:t>République Française</w:t>
      </w:r>
      <w:r w:rsidR="006B27DF" w:rsidRPr="00010DF7">
        <w:rPr>
          <w:lang w:val="fr-FR"/>
        </w:rPr>
        <w:t xml:space="preserve"> </w:t>
      </w:r>
      <w:r w:rsidR="005E10AD" w:rsidRPr="00010DF7">
        <w:rPr>
          <w:lang w:val="fr-FR"/>
        </w:rPr>
        <w:t>Rapport n°2020-09-22 DIPLO-44 publié le 4 novembre 2020</w:t>
      </w:r>
      <w:r w:rsidRPr="00010DF7">
        <w:rPr>
          <w:lang w:val="fr-FR"/>
        </w:rPr>
        <w:t xml:space="preserve"> </w:t>
      </w:r>
      <w:hyperlink r:id="rId48" w:history="1">
        <w:r w:rsidRPr="00010DF7">
          <w:rPr>
            <w:rStyle w:val="Hyperlink"/>
            <w:lang w:val="fr-FR"/>
          </w:rPr>
          <w:t>https://www.diplomatie.gouv.fr/IMG/pdf/rapport-diplomatie_feministe-v4-2_cle8a99a1.pdf</w:t>
        </w:r>
      </w:hyperlink>
      <w:r w:rsidRPr="00010DF7">
        <w:rPr>
          <w:lang w:val="fr-FR"/>
        </w:rPr>
        <w:t xml:space="preserve">. </w:t>
      </w:r>
    </w:p>
  </w:footnote>
  <w:footnote w:id="133">
    <w:p w14:paraId="0D15E584" w14:textId="411E71BA" w:rsidR="00922F83" w:rsidRPr="00010DF7" w:rsidRDefault="00922F83" w:rsidP="00922F83">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{"citationID":"916UNBRv","properties":{"formattedCitation":"Hungary - Women, Peace, Security, https://www.globalwps.org/details/HUN (last visited Mar 13, 2023).","plainCitation":"Hungary - Women, Peace, Security, https://www.globalwps.org/details/HUN (last visited Mar 13, 2023).","dontUpdate":true,"noteIndex":119},"citationItems":[{"id":946,"uris":["http://zotero.org/users/10345638/items/EKXJ9478"],"itemData":{"id":946,"type":"webpage","title":"Hungary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France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https://www.globalwps.org/details/FRA (last visited Mar 13, 2023).</w:t>
      </w:r>
      <w:r w:rsidRPr="00010DF7">
        <w:fldChar w:fldCharType="end"/>
      </w:r>
    </w:p>
  </w:footnote>
  <w:footnote w:id="134">
    <w:p w14:paraId="1C12C1F0" w14:textId="60E53021" w:rsidR="00922F83" w:rsidRPr="00010DF7" w:rsidRDefault="00922F83" w:rsidP="00922F83">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{"citationID":"KYUZgG7a","properties":{"formattedCitation":"Hungary - Women, Peace, Security, https://www.globalwps.org/details/HUN (last visited Mar 13, 2023).","plainCitation":"Hungary - Women, Peace, Security, https://www.globalwps.org/details/HUN (last visited Mar 13, 2023).","dontUpdate":true,"noteIndex":120},"citationItems":[{"id":946,"uris":["http://zotero.org/users/10345638/items/EKXJ9478"],"itemData":{"id":946,"type":"webpage","title":"Hungary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France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https://www.globalwps.org/details/FRA (last visited Mar 13, 2023).</w:t>
      </w:r>
      <w:r w:rsidRPr="00010DF7">
        <w:fldChar w:fldCharType="end"/>
      </w:r>
    </w:p>
  </w:footnote>
  <w:footnote w:id="135">
    <w:p w14:paraId="16A6C485" w14:textId="08A20683" w:rsidR="00922F83" w:rsidRPr="00010DF7" w:rsidRDefault="00922F83" w:rsidP="00922F83">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{"citationID":"bVyhnhpg","properties":{"formattedCitation":"Hungary - Women, Peace, Security, https://www.globalwps.org/details/HUN (last visited Mar 13, 2023).","plainCitation":"Hungary - Women, Peace, Security, https://www.globalwps.org/details/HUN (last visited Mar 13, 2023).","dontUpdate":true,"noteIndex":121},"citationItems":[{"id":946,"uris":["http://zotero.org/users/10345638/items/EKXJ9478"],"itemData":{"id":946,"type":"webpage","title":"Hungary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France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https://www.globalwps.org/details/FRA (last visited Mar 13, 2023).</w:t>
      </w:r>
      <w:r w:rsidRPr="00010DF7">
        <w:fldChar w:fldCharType="end"/>
      </w:r>
    </w:p>
  </w:footnote>
  <w:footnote w:id="136">
    <w:p w14:paraId="16CDDBDD" w14:textId="091BCDA3" w:rsidR="00922F83" w:rsidRPr="00010DF7" w:rsidRDefault="00922F83" w:rsidP="00922F83">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{"citationID":"iMG2BQtS","properties":{"formattedCitation":"Hungary - Women, Peace, Security, https://www.globalwps.org/details/HUN (last visited Mar 13, 2023).","plainCitation":"Hungary - Women, Peace, Security, https://www.globalwps.org/details/HUN (last visited Mar 13, 2023).","dontUpdate":true,"noteIndex":122},"citationItems":[{"id":946,"uris":["http://zotero.org/users/10345638/items/EKXJ9478"],"itemData":{"id":946,"type":"webpage","title":"Hungary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France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https://www.globalwps.org/details/FRA (last visited Mar 13, 2023).</w:t>
      </w:r>
      <w:r w:rsidRPr="00010DF7">
        <w:fldChar w:fldCharType="end"/>
      </w:r>
    </w:p>
  </w:footnote>
  <w:footnote w:id="137">
    <w:p w14:paraId="0B51C43C" w14:textId="77777777"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138">
    <w:p w14:paraId="6BF7CB7E" w14:textId="13B1B484" w:rsidR="00C76CAE" w:rsidRPr="00010DF7" w:rsidRDefault="00C76CAE">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{"citationID":"fvUqU5au","properties":{"formattedCitation":"WPS National Action Plans: France, {\\scaps LSE - Women, Peace Security}, https://www.wpsnaps.org/nap/french-national-action-plan-iii/ (last visited Mar 12, 2023).","plainCitation":"WPS National Action Plans: France, LSE - Women, Peace Security, https://www.wpsnaps.org/nap/french-national-action-plan-iii/ (last visited Mar 12, 2023).","dontUpdate":true,"noteIndex":124},"citationItems":[{"id":932,"uris":["http://zotero.org/users/10345638/items/J29IKP27"],"itemData":{"id":932,"type":"webpage","abstract":"Explore the Women, Peace and Security National Action Plans by region, country, year and topic.","container-title":"LSE - Women, Peace Security","language":"en-GB","title":"LSE-WPS National Action Plans: France","URL":"https://www.wpsnaps.org/nap/french-national-action-plan-iii/","accessed":{"date-parts":[["2023",3,12]]}}}],"schema":"https://github.com/citation-style-language/schema/raw/master/csl-citation.json"} </w:instrText>
      </w:r>
      <w:r w:rsidRPr="00010DF7">
        <w:fldChar w:fldCharType="separate"/>
      </w:r>
      <w:r w:rsidR="00831720" w:rsidRPr="00010DF7">
        <w:t xml:space="preserve">Caitlin Biddolph and Laura J. Shepherd, </w:t>
      </w:r>
      <w:r w:rsidR="00831720" w:rsidRPr="00010DF7">
        <w:rPr>
          <w:i/>
          <w:iCs/>
        </w:rPr>
        <w:t>WPS National Action Plans: Content Analysis and Data Visualisation</w:t>
      </w:r>
      <w:r w:rsidR="00831720" w:rsidRPr="00010DF7">
        <w:rPr>
          <w:rFonts w:cs="Times New Roman"/>
          <w:lang w:val="en-GB"/>
        </w:rPr>
        <w:t xml:space="preserve">. </w:t>
      </w:r>
      <w:r w:rsidRPr="00010DF7">
        <w:rPr>
          <w:rFonts w:cs="Times New Roman"/>
          <w:i/>
          <w:iCs/>
          <w:lang w:val="en-GB"/>
        </w:rPr>
        <w:t>France</w:t>
      </w:r>
      <w:r w:rsidRPr="00010DF7">
        <w:rPr>
          <w:rFonts w:cs="Times New Roman"/>
          <w:lang w:val="en-GB"/>
        </w:rPr>
        <w:t xml:space="preserve">, </w:t>
      </w:r>
      <w:r w:rsidR="00831720" w:rsidRPr="00010DF7">
        <w:rPr>
          <w:rFonts w:cs="Times New Roman"/>
          <w:lang w:val="en-GB"/>
        </w:rPr>
        <w:t xml:space="preserve">2022, </w:t>
      </w:r>
      <w:r w:rsidRPr="00010DF7">
        <w:rPr>
          <w:rFonts w:cs="Times New Roman"/>
          <w:smallCaps/>
          <w:lang w:val="en-GB"/>
        </w:rPr>
        <w:t>LSE - Women, Peace Security</w:t>
      </w:r>
      <w:r w:rsidRPr="00010DF7">
        <w:rPr>
          <w:rFonts w:cs="Times New Roman"/>
          <w:lang w:val="en-GB"/>
        </w:rPr>
        <w:t>, https://www.wpsnaps.org/nap/french-national-action-plan-iii/ (last visited Mar 12, 2023).</w:t>
      </w:r>
      <w:r w:rsidRPr="00010DF7">
        <w:fldChar w:fldCharType="end"/>
      </w:r>
    </w:p>
  </w:footnote>
  <w:footnote w:id="139">
    <w:p w14:paraId="3C2E7F80" w14:textId="31F72244" w:rsidR="00F435F8" w:rsidRPr="00010DF7" w:rsidRDefault="00F435F8" w:rsidP="00F435F8">
      <w:pPr>
        <w:pStyle w:val="FootnoteText"/>
      </w:pPr>
      <w:r w:rsidRPr="00010DF7">
        <w:rPr>
          <w:rStyle w:val="FootnoteReference"/>
        </w:rPr>
        <w:footnoteRef/>
      </w:r>
      <w:r w:rsidRPr="00010DF7">
        <w:t xml:space="preserve"> Georgia, </w:t>
      </w:r>
      <w:r w:rsidRPr="00010DF7">
        <w:rPr>
          <w:i/>
          <w:iCs/>
        </w:rPr>
        <w:t>Georgia’s Updated Nationally Determined Contribution (NDC)</w:t>
      </w:r>
      <w:r w:rsidRPr="00010DF7">
        <w:t xml:space="preserve">, UNFCCC, 2021, at paras. </w:t>
      </w:r>
      <w:r w:rsidR="002426C5" w:rsidRPr="00010DF7">
        <w:t>73</w:t>
      </w:r>
      <w:r w:rsidRPr="00010DF7">
        <w:t xml:space="preserve">, </w:t>
      </w:r>
      <w:hyperlink r:id="rId49" w:history="1">
        <w:r w:rsidRPr="00010DF7">
          <w:rPr>
            <w:rStyle w:val="Hyperlink"/>
          </w:rPr>
          <w:t>https://unfccc.int/sites/default/files/NDC/2022-06/NDC%20Georgia_ENG%20WEB-approved.pdf</w:t>
        </w:r>
      </w:hyperlink>
      <w:r w:rsidRPr="00010DF7">
        <w:t xml:space="preserve">. </w:t>
      </w:r>
    </w:p>
  </w:footnote>
  <w:footnote w:id="140">
    <w:p w14:paraId="65A0BAB9" w14:textId="2BA18609" w:rsidR="007F67F8" w:rsidRPr="00010DF7" w:rsidRDefault="007F67F8" w:rsidP="003975B3">
      <w:pPr>
        <w:pStyle w:val="FootnoteText"/>
      </w:pPr>
      <w:r w:rsidRPr="00010DF7">
        <w:rPr>
          <w:rStyle w:val="FootnoteReference"/>
        </w:rPr>
        <w:footnoteRef/>
      </w:r>
      <w:r w:rsidRPr="00010DF7">
        <w:t xml:space="preserve"> </w:t>
      </w:r>
      <w:r w:rsidR="0099062C" w:rsidRPr="00010DF7">
        <w:t xml:space="preserve">Georgia, </w:t>
      </w:r>
      <w:r w:rsidR="00965E0B" w:rsidRPr="00010DF7">
        <w:rPr>
          <w:i/>
          <w:iCs/>
        </w:rPr>
        <w:t>Georgia’s Updated Nationally Determined Contribution (NDC)</w:t>
      </w:r>
      <w:r w:rsidR="0099062C" w:rsidRPr="00010DF7">
        <w:t xml:space="preserve">, </w:t>
      </w:r>
      <w:r w:rsidR="0097278B" w:rsidRPr="00010DF7">
        <w:t xml:space="preserve">UNFCCC, </w:t>
      </w:r>
      <w:r w:rsidR="003975B3" w:rsidRPr="00010DF7">
        <w:t xml:space="preserve">2021, at </w:t>
      </w:r>
      <w:r w:rsidR="00301BA2" w:rsidRPr="00010DF7">
        <w:t>para</w:t>
      </w:r>
      <w:r w:rsidR="004177C6" w:rsidRPr="00010DF7">
        <w:t>s. 70-</w:t>
      </w:r>
      <w:r w:rsidR="00301BA2" w:rsidRPr="00010DF7">
        <w:t>72</w:t>
      </w:r>
      <w:r w:rsidR="003975B3" w:rsidRPr="00010DF7">
        <w:t xml:space="preserve">, </w:t>
      </w:r>
      <w:hyperlink r:id="rId50" w:history="1">
        <w:r w:rsidR="003975B3" w:rsidRPr="00010DF7">
          <w:rPr>
            <w:rStyle w:val="Hyperlink"/>
          </w:rPr>
          <w:t>https://unfccc.int/sites/default/files/NDC/2022-06/NDC%20Georgia_ENG%20WEB-approved.pdf</w:t>
        </w:r>
      </w:hyperlink>
      <w:r w:rsidR="003975B3" w:rsidRPr="00010DF7">
        <w:t xml:space="preserve">. </w:t>
      </w:r>
    </w:p>
  </w:footnote>
  <w:footnote w:id="141">
    <w:p w14:paraId="41EF05EC" w14:textId="77777777" w:rsidR="00245760" w:rsidRPr="009B30F7" w:rsidRDefault="00245760" w:rsidP="00245760">
      <w:pPr>
        <w:pStyle w:val="FootnoteText"/>
      </w:pPr>
      <w:r>
        <w:rPr>
          <w:rStyle w:val="FootnoteReference"/>
        </w:rPr>
        <w:footnoteRef/>
      </w:r>
      <w:r>
        <w:t xml:space="preserve"> CEDAW, </w:t>
      </w:r>
      <w:r w:rsidRPr="009B30F7">
        <w:rPr>
          <w:i/>
          <w:iCs/>
        </w:rPr>
        <w:t>Concluding observations on the sixth periodic report of Georgia</w:t>
      </w:r>
      <w:r w:rsidRPr="009B30F7">
        <w:t>, C/GEO/CO/6 (2023), para. 30.</w:t>
      </w:r>
    </w:p>
  </w:footnote>
  <w:footnote w:id="142">
    <w:p w14:paraId="1434C613" w14:textId="24A6C083" w:rsidR="006E480E" w:rsidRPr="00010DF7" w:rsidRDefault="006E480E">
      <w:pPr>
        <w:pStyle w:val="FootnoteText"/>
      </w:pPr>
      <w:r w:rsidRPr="00010DF7">
        <w:rPr>
          <w:rStyle w:val="FootnoteReference"/>
        </w:rPr>
        <w:footnoteRef/>
      </w:r>
      <w:r w:rsidRPr="00010DF7">
        <w:t xml:space="preserve"> </w:t>
      </w:r>
      <w:r w:rsidR="00BB7AB4" w:rsidRPr="00010DF7">
        <w:t xml:space="preserve">Georgia </w:t>
      </w:r>
      <w:r w:rsidR="00655010" w:rsidRPr="00010DF7">
        <w:t xml:space="preserve">UN Women, Women, Peace and Security, </w:t>
      </w:r>
      <w:r w:rsidR="00BB7AB4" w:rsidRPr="00010DF7">
        <w:rPr>
          <w:smallCaps/>
        </w:rPr>
        <w:t>UN Women,</w:t>
      </w:r>
      <w:r w:rsidR="00872C7F" w:rsidRPr="00010DF7">
        <w:rPr>
          <w:smallCaps/>
        </w:rPr>
        <w:t xml:space="preserve"> 2020, </w:t>
      </w:r>
      <w:r w:rsidR="00872C7F" w:rsidRPr="00010DF7">
        <w:t>at</w:t>
      </w:r>
      <w:r w:rsidR="00C210A1" w:rsidRPr="00010DF7">
        <w:t xml:space="preserve"> 1,</w:t>
      </w:r>
      <w:r w:rsidR="00872C7F" w:rsidRPr="00010DF7">
        <w:t xml:space="preserve"> </w:t>
      </w:r>
      <w:hyperlink r:id="rId51" w:history="1">
        <w:r w:rsidR="003F3051" w:rsidRPr="00010DF7">
          <w:rPr>
            <w:rStyle w:val="Hyperlink"/>
          </w:rPr>
          <w:t>https://georgia.unwomen.org/sites/default/files/Field%20Office%20Georgia/Attachments/Publications/2020/WPS.pdf</w:t>
        </w:r>
      </w:hyperlink>
      <w:r w:rsidR="003F3051" w:rsidRPr="00010DF7">
        <w:t xml:space="preserve">. </w:t>
      </w:r>
    </w:p>
  </w:footnote>
  <w:footnote w:id="143">
    <w:p w14:paraId="257093C3" w14:textId="77777777"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144">
    <w:p w14:paraId="61403A85" w14:textId="35B9CDCE" w:rsidR="005A7203" w:rsidRPr="00010DF7" w:rsidRDefault="005A7203" w:rsidP="005A7203">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{"citationID":"2NLkWx7p","properties":{"formattedCitation":"WPS National Action Plans: France, {\\scaps LSE - Women, Peace Security}, https://www.wpsnaps.org/nap/french-national-action-plan-iii/ (last visited Mar 12, 2023).","plainCitation":"WPS National Action Plans: France, LSE - Women, Peace Security, https://www.wpsnaps.org/nap/french-national-action-plan-iii/ (last visited Mar 12, 2023).","dontUpdate":true,"noteIndex":129},"citationItems":[{"id":932,"uris":["http://zotero.org/users/10345638/items/J29IKP27"],"itemData":{"id":932,"type":"webpage","abstract":"Explore the Women, Peace and Security National Action Plans by region, country, year and topic.","container-title":"LSE - Women, Peace Security","language":"en-GB","title":"LSE-WPS National Action Plans: France","URL":"https://www.wpsnaps.org/nap/french-national-action-plan-iii/","accessed":{"date-parts":[["2023",3,12]]}}}],"schema":"https://github.com/citation-style-language/schema/raw/master/csl-citation.json"} </w:instrText>
      </w:r>
      <w:r w:rsidRPr="00010DF7">
        <w:fldChar w:fldCharType="separate"/>
      </w:r>
      <w:r w:rsidRPr="00010DF7">
        <w:t xml:space="preserve">Caitlin Biddolph and Laura J. Shepherd, </w:t>
      </w:r>
      <w:r w:rsidRPr="00010DF7">
        <w:rPr>
          <w:i/>
          <w:iCs/>
        </w:rPr>
        <w:t>WPS National Action Plans: Content Analysis and Data Visualisation</w:t>
      </w:r>
      <w:r w:rsidRPr="00010DF7">
        <w:rPr>
          <w:rFonts w:cs="Times New Roman"/>
          <w:lang w:val="en-GB"/>
        </w:rPr>
        <w:t>.</w:t>
      </w:r>
      <w:r w:rsidRPr="00010DF7">
        <w:rPr>
          <w:rFonts w:cs="Times New Roman"/>
          <w:i/>
          <w:iCs/>
          <w:lang w:val="en-GB"/>
        </w:rPr>
        <w:t xml:space="preserve"> Georgia</w:t>
      </w:r>
      <w:r w:rsidRPr="00010DF7">
        <w:rPr>
          <w:rFonts w:cs="Times New Roman"/>
          <w:lang w:val="en-GB"/>
        </w:rPr>
        <w:t xml:space="preserve">, 2022, </w:t>
      </w:r>
      <w:r w:rsidRPr="00010DF7">
        <w:rPr>
          <w:rFonts w:cs="Times New Roman"/>
          <w:smallCaps/>
          <w:lang w:val="en-GB"/>
        </w:rPr>
        <w:t>LSE - Women, Peace Security</w:t>
      </w:r>
      <w:r w:rsidRPr="00010DF7">
        <w:rPr>
          <w:rFonts w:cs="Times New Roman"/>
          <w:lang w:val="en-GB"/>
        </w:rPr>
        <w:t>, https://www.wpsnaps.org/nap/georgian-national-action-plan-iii/ (last visited Mar 12, 2023).</w:t>
      </w:r>
      <w:r w:rsidRPr="00010DF7">
        <w:fldChar w:fldCharType="end"/>
      </w:r>
    </w:p>
  </w:footnote>
  <w:footnote w:id="145">
    <w:p w14:paraId="68F20A13" w14:textId="248AAC16" w:rsidR="000914C3" w:rsidRPr="00010DF7" w:rsidRDefault="000914C3" w:rsidP="000914C3">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{"citationID":"jwXYvIy3","properties":{"formattedCitation":"WPS National Action Plans: France, {\\scaps LSE - Women, Peace Security}, https://www.wpsnaps.org/nap/french-national-action-plan-iii/ (last visited Mar 12, 2023).","plainCitation":"WPS National Action Plans: France, LSE - Women, Peace Security, https://www.wpsnaps.org/nap/french-national-action-plan-iii/ (last visited Mar 12, 2023).","dontUpdate":true,"noteIndex":130},"citationItems":[{"id":932,"uris":["http://zotero.org/users/10345638/items/J29IKP27"],"itemData":{"id":932,"type":"webpage","abstract":"Explore the Women, Peace and Security National Action Plans by region, country, year and topic.","container-title":"LSE - Women, Peace Security","language":"en-GB","title":"LSE-WPS National Action Plans: France","URL":"https://www.wpsnaps.org/nap/french-national-action-plan-iii/","accessed":{"date-parts":[["2023",3,12]]}}}],"schema":"https://github.com/citation-style-language/schema/raw/master/csl-citation.json"} </w:instrText>
      </w:r>
      <w:r w:rsidRPr="00010DF7">
        <w:fldChar w:fldCharType="separate"/>
      </w:r>
      <w:r w:rsidRPr="00010DF7">
        <w:t xml:space="preserve">Caitlin Biddolph and Laura J. Shepherd, </w:t>
      </w:r>
      <w:r w:rsidRPr="00010DF7">
        <w:rPr>
          <w:i/>
          <w:iCs/>
        </w:rPr>
        <w:t>WPS National Action Plans: Content Analysis and Data Visualisation</w:t>
      </w:r>
      <w:r w:rsidRPr="00010DF7">
        <w:rPr>
          <w:rFonts w:cs="Times New Roman"/>
          <w:lang w:val="en-GB"/>
        </w:rPr>
        <w:t>.</w:t>
      </w:r>
      <w:r w:rsidRPr="00010DF7">
        <w:rPr>
          <w:rFonts w:cs="Times New Roman"/>
          <w:i/>
          <w:iCs/>
          <w:lang w:val="en-GB"/>
        </w:rPr>
        <w:t xml:space="preserve"> Georgia</w:t>
      </w:r>
      <w:r w:rsidRPr="00010DF7">
        <w:rPr>
          <w:rFonts w:cs="Times New Roman"/>
          <w:lang w:val="en-GB"/>
        </w:rPr>
        <w:t xml:space="preserve">, at </w:t>
      </w:r>
      <w:r w:rsidR="00CB5BD0" w:rsidRPr="00010DF7">
        <w:rPr>
          <w:rFonts w:cs="Times New Roman"/>
          <w:lang w:val="en-GB"/>
        </w:rPr>
        <w:t xml:space="preserve">6-7, </w:t>
      </w:r>
      <w:r w:rsidRPr="00010DF7">
        <w:rPr>
          <w:rFonts w:cs="Times New Roman"/>
          <w:lang w:val="en-GB"/>
        </w:rPr>
        <w:t xml:space="preserve">2022, </w:t>
      </w:r>
      <w:r w:rsidRPr="00010DF7">
        <w:rPr>
          <w:rFonts w:cs="Times New Roman"/>
          <w:smallCaps/>
          <w:lang w:val="en-GB"/>
        </w:rPr>
        <w:t>LSE - Women, Peace Security</w:t>
      </w:r>
      <w:r w:rsidRPr="00010DF7">
        <w:rPr>
          <w:rFonts w:cs="Times New Roman"/>
          <w:lang w:val="en-GB"/>
        </w:rPr>
        <w:t>, https://www.wpsnaps.org/nap/georgian-national-action-plan-iii/ (last visited Mar 12, 2023).</w:t>
      </w:r>
      <w:r w:rsidRPr="00010DF7">
        <w:fldChar w:fldCharType="end"/>
      </w:r>
    </w:p>
  </w:footnote>
  <w:footnote w:id="146">
    <w:p w14:paraId="1A402E57" w14:textId="7A3321FA" w:rsidR="00CE486B" w:rsidRPr="00010DF7" w:rsidRDefault="00CE486B" w:rsidP="00C71D2A">
      <w:pPr>
        <w:pStyle w:val="FootnoteText"/>
      </w:pPr>
      <w:r w:rsidRPr="00010DF7">
        <w:rPr>
          <w:rStyle w:val="FootnoteReference"/>
        </w:rPr>
        <w:footnoteRef/>
      </w:r>
      <w:r w:rsidRPr="00010DF7">
        <w:rPr>
          <w:lang w:val="nl-BE"/>
        </w:rPr>
        <w:t xml:space="preserve"> </w:t>
      </w:r>
      <w:r w:rsidR="00C71D2A" w:rsidRPr="00010DF7">
        <w:rPr>
          <w:lang w:val="nl-BE"/>
        </w:rPr>
        <w:t xml:space="preserve">Gesetz für die Gleichstellung von Frauen und Männern in der Bundesverwaltung und in den Gerichten des Bundes [Bundesgleichstellungsgesetz – BgleiG] [Federal </w:t>
      </w:r>
      <w:r w:rsidR="00C71D2A" w:rsidRPr="00010DF7">
        <w:rPr>
          <w:bCs/>
          <w:lang w:val="nl-BE"/>
        </w:rPr>
        <w:t xml:space="preserve">Gender Equality Act], </w:t>
      </w:r>
      <w:hyperlink r:id="rId52" w:history="1">
        <w:r w:rsidR="00C71D2A" w:rsidRPr="00010DF7">
          <w:rPr>
            <w:rStyle w:val="Hyperlink"/>
            <w:bCs/>
            <w:lang w:val="nl-BE"/>
          </w:rPr>
          <w:t>https://www.gesetze-im-internet.de/bgleig_2015/BJNR064300015.html</w:t>
        </w:r>
      </w:hyperlink>
      <w:r w:rsidR="00C71D2A" w:rsidRPr="00010DF7">
        <w:rPr>
          <w:bCs/>
          <w:lang w:val="nl-BE"/>
        </w:rPr>
        <w:t xml:space="preserve"> </w:t>
      </w:r>
      <w:r w:rsidR="00C71D2A" w:rsidRPr="00010DF7">
        <w:rPr>
          <w:lang w:val="nl-BE"/>
        </w:rPr>
        <w:t>(Ger.).</w:t>
      </w:r>
      <w:r w:rsidR="00C13F37" w:rsidRPr="00010DF7">
        <w:rPr>
          <w:lang w:val="nl-BE"/>
        </w:rPr>
        <w:t xml:space="preserve"> </w:t>
      </w:r>
      <w:r w:rsidR="00C13F37" w:rsidRPr="00010DF7">
        <w:t xml:space="preserve">English translation: </w:t>
      </w:r>
      <w:hyperlink r:id="rId53" w:history="1">
        <w:r w:rsidR="00C13F37" w:rsidRPr="00010DF7">
          <w:rPr>
            <w:rStyle w:val="Hyperlink"/>
          </w:rPr>
          <w:t>https://www.ilo.org/dyn/natlex/docs/ELECTRONIC/101573/122451/F-237725072/englisch_bgleig.pdf</w:t>
        </w:r>
      </w:hyperlink>
      <w:r w:rsidR="00C13F37" w:rsidRPr="00010DF7">
        <w:t xml:space="preserve">. </w:t>
      </w:r>
    </w:p>
  </w:footnote>
  <w:footnote w:id="147">
    <w:p w14:paraId="461FF6DF" w14:textId="69F48751" w:rsidR="00AF53C1" w:rsidRPr="00010DF7" w:rsidRDefault="00AF53C1">
      <w:pPr>
        <w:pStyle w:val="FootnoteText"/>
      </w:pPr>
      <w:r w:rsidRPr="00010DF7">
        <w:rPr>
          <w:rStyle w:val="FootnoteReference"/>
        </w:rPr>
        <w:footnoteRef/>
      </w:r>
      <w:r w:rsidRPr="00010DF7">
        <w:t xml:space="preserve"> German Federal Foreign Office, Guidelines for Feminist Foreign Policy: a foreign policy for all, https://www.auswaertiges-amt.de/en/aussenpolitik/themen/ffp-guidelines/2585074 (last accessed Apr.19, 2023).</w:t>
      </w:r>
    </w:p>
  </w:footnote>
  <w:footnote w:id="148">
    <w:p w14:paraId="56D4E608" w14:textId="77777777" w:rsidR="00C13F37" w:rsidRPr="00010DF7" w:rsidRDefault="00C13F37" w:rsidP="00C13F37">
      <w:pPr>
        <w:pStyle w:val="FootnoteText"/>
      </w:pPr>
      <w:r w:rsidRPr="00010DF7">
        <w:rPr>
          <w:rStyle w:val="FootnoteReference"/>
        </w:rPr>
        <w:footnoteRef/>
      </w:r>
      <w:r w:rsidRPr="00010DF7">
        <w:rPr>
          <w:lang w:val="nl-BE"/>
        </w:rPr>
        <w:t xml:space="preserve"> Gesetz für die Gleichstellung von Frauen und Männern in der Bundesverwaltung und in den Gerichten des Bundes [Bundesgleichstellungsgesetz – BgleiG] [Federal </w:t>
      </w:r>
      <w:r w:rsidRPr="00010DF7">
        <w:rPr>
          <w:bCs/>
          <w:lang w:val="nl-BE"/>
        </w:rPr>
        <w:t xml:space="preserve">Gender Equality Act], </w:t>
      </w:r>
      <w:hyperlink r:id="rId54" w:history="1">
        <w:r w:rsidRPr="00010DF7">
          <w:rPr>
            <w:rStyle w:val="Hyperlink"/>
            <w:bCs/>
            <w:lang w:val="nl-BE"/>
          </w:rPr>
          <w:t>https://www.gesetze-im-internet.de/bgleig_2015/BJNR064300015.html</w:t>
        </w:r>
      </w:hyperlink>
      <w:r w:rsidRPr="00010DF7">
        <w:rPr>
          <w:bCs/>
          <w:lang w:val="nl-BE"/>
        </w:rPr>
        <w:t xml:space="preserve"> </w:t>
      </w:r>
      <w:r w:rsidRPr="00010DF7">
        <w:rPr>
          <w:lang w:val="nl-BE"/>
        </w:rPr>
        <w:t xml:space="preserve">(Ger.). </w:t>
      </w:r>
      <w:r w:rsidRPr="00010DF7">
        <w:t xml:space="preserve">English translation: </w:t>
      </w:r>
      <w:hyperlink r:id="rId55" w:history="1">
        <w:r w:rsidRPr="00010DF7">
          <w:rPr>
            <w:rStyle w:val="Hyperlink"/>
          </w:rPr>
          <w:t>https://www.ilo.org/dyn/natlex/docs/ELECTRONIC/101573/122451/F-237725072/englisch_bgleig.pdf</w:t>
        </w:r>
      </w:hyperlink>
      <w:r w:rsidRPr="00010DF7">
        <w:t xml:space="preserve">. </w:t>
      </w:r>
    </w:p>
  </w:footnote>
  <w:footnote w:id="149">
    <w:p w14:paraId="17AC20C3" w14:textId="79241D9F" w:rsidR="00624997" w:rsidRPr="00010DF7" w:rsidRDefault="00624997" w:rsidP="00624997">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{"citationID":"C7w88YzF","properties":{"formattedCitation":"Hungary - Women, Peace, Security, https://www.globalwps.org/details/HUN (last visited Mar 13, 2023).","plainCitation":"Hungary - Women, Peace, Security, https://www.globalwps.org/details/HUN (last visited Mar 13, 2023).","dontUpdate":true,"noteIndex":133},"citationItems":[{"id":946,"uris":["http://zotero.org/users/10345638/items/EKXJ9478"],"itemData":{"id":946,"type":"webpage","title":"Hungary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Germany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https://www.globalwps.org/details/DEU (last visited Mar 13, 2023).</w:t>
      </w:r>
      <w:r w:rsidRPr="00010DF7">
        <w:fldChar w:fldCharType="end"/>
      </w:r>
    </w:p>
  </w:footnote>
  <w:footnote w:id="150">
    <w:p w14:paraId="0FB415A0" w14:textId="6666AFDF" w:rsidR="0001623A" w:rsidRPr="00010DF7" w:rsidRDefault="0001623A" w:rsidP="0001623A">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{"citationID":"0ZlCmd2X","properties":{"formattedCitation":"Hungary - Women, Peace, Security, https://www.globalwps.org/details/HUN (last visited Mar 13, 2023).","plainCitation":"Hungary - Women, Peace, Security, https://www.globalwps.org/details/HUN (last visited Mar 13, 2023).","dontUpdate":true,"noteIndex":134},"citationItems":[{"id":946,"uris":["http://zotero.org/users/10345638/items/EKXJ9478"],"itemData":{"id":946,"type":"webpage","title":"Hungary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Germany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https://www.globalwps.org/details/DEU (last visited Mar 13, 2023).</w:t>
      </w:r>
      <w:r w:rsidRPr="00010DF7">
        <w:fldChar w:fldCharType="end"/>
      </w:r>
    </w:p>
  </w:footnote>
  <w:footnote w:id="151">
    <w:p w14:paraId="715E56E8" w14:textId="64E81330" w:rsidR="001F21D2" w:rsidRPr="00010DF7" w:rsidRDefault="001F21D2" w:rsidP="001F21D2">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{"citationID":"XSaJfkIg","properties":{"formattedCitation":"Hungary - Women, Peace, Security, https://www.globalwps.org/details/HUN (last visited Mar 13, 2023).","plainCitation":"Hungary - Women, Peace, Security, https://www.globalwps.org/details/HUN (last visited Mar 13, 2023).","dontUpdate":true,"noteIndex":135},"citationItems":[{"id":946,"uris":["http://zotero.org/users/10345638/items/EKXJ9478"],"itemData":{"id":946,"type":"webpage","title":"Hungary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Germany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https://www.globalwps.org/details/DEU (last visited Mar 13, 2023).</w:t>
      </w:r>
      <w:r w:rsidRPr="00010DF7">
        <w:fldChar w:fldCharType="end"/>
      </w:r>
    </w:p>
  </w:footnote>
  <w:footnote w:id="152">
    <w:p w14:paraId="6317C725" w14:textId="77777777"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153">
    <w:p w14:paraId="5266E5E0" w14:textId="630CA85B" w:rsidR="00BE7FD3" w:rsidRPr="00010DF7" w:rsidRDefault="00BE7FD3">
      <w:pPr>
        <w:pStyle w:val="FootnoteText"/>
      </w:pPr>
      <w:r w:rsidRPr="00010DF7">
        <w:rPr>
          <w:rStyle w:val="FootnoteReference"/>
        </w:rPr>
        <w:footnoteRef/>
      </w:r>
      <w:r w:rsidRPr="00010DF7">
        <w:t xml:space="preserve"> </w:t>
      </w:r>
      <w:r w:rsidR="001265AC" w:rsidRPr="00010DF7">
        <w:t xml:space="preserve">Basic Law, </w:t>
      </w:r>
      <w:r w:rsidR="00156C70" w:rsidRPr="00010DF7">
        <w:t>ar</w:t>
      </w:r>
      <w:r w:rsidR="001265AC" w:rsidRPr="00010DF7">
        <w:t xml:space="preserve">t.12 </w:t>
      </w:r>
      <w:hyperlink r:id="rId56" w:history="1">
        <w:r w:rsidR="001265AC" w:rsidRPr="00010DF7">
          <w:rPr>
            <w:rStyle w:val="Hyperlink"/>
          </w:rPr>
          <w:t>https://www.gesetze-im-internet.de/englisch_gg/englisch_gg.html</w:t>
        </w:r>
      </w:hyperlink>
      <w:r w:rsidR="001265AC" w:rsidRPr="00010DF7">
        <w:t xml:space="preserve"> (Ger.). </w:t>
      </w:r>
    </w:p>
  </w:footnote>
  <w:footnote w:id="154">
    <w:p w14:paraId="5CD9662C" w14:textId="66E72381" w:rsidR="00D53C7D" w:rsidRPr="00010DF7" w:rsidRDefault="00D53C7D">
      <w:pPr>
        <w:pStyle w:val="FootnoteText"/>
      </w:pPr>
      <w:r w:rsidRPr="00010DF7">
        <w:rPr>
          <w:rStyle w:val="FootnoteReference"/>
        </w:rPr>
        <w:footnoteRef/>
      </w:r>
      <w:r w:rsidRPr="00010DF7">
        <w:t xml:space="preserve"> Federal Foreign Office, </w:t>
      </w:r>
      <w:r w:rsidRPr="00010DF7">
        <w:rPr>
          <w:i/>
          <w:iCs/>
        </w:rPr>
        <w:t>The German Federal Government’s Action Plan for the Women, Peace and Security Agenda 2021 to 2024</w:t>
      </w:r>
      <w:r w:rsidRPr="00010DF7">
        <w:t xml:space="preserve">, </w:t>
      </w:r>
      <w:r w:rsidR="003E65DE" w:rsidRPr="00010DF7">
        <w:rPr>
          <w:rFonts w:cs="Times New Roman"/>
          <w:smallCaps/>
          <w:lang w:val="en-GB"/>
        </w:rPr>
        <w:t>LSE - Women, Peace Security</w:t>
      </w:r>
      <w:r w:rsidR="003E65DE" w:rsidRPr="00010DF7">
        <w:rPr>
          <w:rFonts w:cs="Times New Roman"/>
          <w:lang w:val="en-GB"/>
        </w:rPr>
        <w:t xml:space="preserve">, </w:t>
      </w:r>
      <w:hyperlink r:id="rId57" w:history="1">
        <w:r w:rsidR="003E65DE" w:rsidRPr="00010DF7">
          <w:rPr>
            <w:rStyle w:val="Hyperlink"/>
          </w:rPr>
          <w:t>https://www.wpsnaps.org/app/uploads/2022/12/Germany-NAP-3-2021-2024.pdf</w:t>
        </w:r>
      </w:hyperlink>
      <w:r w:rsidR="003E65DE" w:rsidRPr="00010DF7">
        <w:t xml:space="preserve"> </w:t>
      </w:r>
      <w:r w:rsidR="003E65DE" w:rsidRPr="00010DF7">
        <w:rPr>
          <w:rFonts w:cs="Times New Roman"/>
          <w:lang w:val="en-GB"/>
        </w:rPr>
        <w:t>(last visited Mar 12, 2023).</w:t>
      </w:r>
    </w:p>
  </w:footnote>
  <w:footnote w:id="155">
    <w:p w14:paraId="25F8A64C" w14:textId="690663E3" w:rsidR="00F341F3" w:rsidRPr="00010DF7" w:rsidRDefault="00F341F3">
      <w:pPr>
        <w:pStyle w:val="FootnoteText"/>
      </w:pPr>
      <w:r w:rsidRPr="00010DF7">
        <w:rPr>
          <w:rStyle w:val="FootnoteReference"/>
        </w:rPr>
        <w:footnoteRef/>
      </w:r>
      <w:r w:rsidR="006E1790" w:rsidRPr="00010DF7">
        <w:t xml:space="preserve">1975 Syntagma [Syn.] [Constitution] </w:t>
      </w:r>
      <w:r w:rsidR="00354F04" w:rsidRPr="00010DF7">
        <w:t>11</w:t>
      </w:r>
      <w:r w:rsidR="006E1790" w:rsidRPr="00010DF7">
        <w:t>6</w:t>
      </w:r>
      <w:r w:rsidR="00354F04" w:rsidRPr="00010DF7">
        <w:t>(2)</w:t>
      </w:r>
      <w:r w:rsidR="006E1790" w:rsidRPr="00010DF7">
        <w:t xml:space="preserve"> (Greece).</w:t>
      </w:r>
      <w:r w:rsidRPr="00010DF7">
        <w:t xml:space="preserve"> </w:t>
      </w:r>
      <w:hyperlink r:id="rId58" w:history="1">
        <w:r w:rsidRPr="00010DF7">
          <w:rPr>
            <w:rStyle w:val="Hyperlink"/>
          </w:rPr>
          <w:t>https://constitutions.unwomen.org/en/countries/europe/greece?provisioncategory=b21e8a4f9df246429cf4e8746437e5ac</w:t>
        </w:r>
      </w:hyperlink>
      <w:r w:rsidRPr="00010DF7">
        <w:t xml:space="preserve">. </w:t>
      </w:r>
    </w:p>
  </w:footnote>
  <w:footnote w:id="156">
    <w:p w14:paraId="6C6C8AE5" w14:textId="36D6B4A9" w:rsidR="00C67763" w:rsidRPr="00010DF7" w:rsidRDefault="00C67763" w:rsidP="005A00B9">
      <w:pPr>
        <w:pStyle w:val="FootnoteText"/>
      </w:pPr>
      <w:r w:rsidRPr="00010DF7">
        <w:rPr>
          <w:rStyle w:val="FootnoteReference"/>
        </w:rPr>
        <w:footnoteRef/>
      </w:r>
      <w:r w:rsidRPr="00010DF7">
        <w:t xml:space="preserve"> </w:t>
      </w:r>
      <w:r w:rsidR="005A00B9" w:rsidRPr="00010DF7">
        <w:t xml:space="preserve">OECD (2021), </w:t>
      </w:r>
      <w:r w:rsidR="005A00B9" w:rsidRPr="00010DF7">
        <w:rPr>
          <w:i/>
          <w:iCs/>
        </w:rPr>
        <w:t>Government at a Glance 2021,</w:t>
      </w:r>
      <w:r w:rsidR="005A00B9" w:rsidRPr="00010DF7">
        <w:t xml:space="preserve"> </w:t>
      </w:r>
      <w:r w:rsidR="005A00B9" w:rsidRPr="00010DF7">
        <w:rPr>
          <w:smallCaps/>
        </w:rPr>
        <w:t>OECD Publishing</w:t>
      </w:r>
      <w:r w:rsidR="005A00B9" w:rsidRPr="00010DF7">
        <w:t xml:space="preserve">, Paris, at 106, </w:t>
      </w:r>
      <w:hyperlink r:id="rId59" w:anchor="page=108" w:history="1">
        <w:r w:rsidR="005A00B9" w:rsidRPr="00010DF7">
          <w:rPr>
            <w:rStyle w:val="Hyperlink"/>
          </w:rPr>
          <w:t>https://doi.org/10.1787/1c258f55-en - page=108</w:t>
        </w:r>
      </w:hyperlink>
      <w:r w:rsidR="005A00B9" w:rsidRPr="00010DF7">
        <w:t xml:space="preserve">. </w:t>
      </w:r>
    </w:p>
  </w:footnote>
  <w:footnote w:id="157">
    <w:p w14:paraId="002702DF" w14:textId="77777777" w:rsidR="00955EB9" w:rsidRPr="00010DF7" w:rsidRDefault="00955EB9" w:rsidP="00955EB9">
      <w:pPr>
        <w:pStyle w:val="FootnoteText"/>
      </w:pPr>
      <w:r w:rsidRPr="00010DF7">
        <w:rPr>
          <w:rStyle w:val="FootnoteReference"/>
        </w:rPr>
        <w:footnoteRef/>
      </w:r>
      <w:r w:rsidRPr="00010DF7">
        <w:t xml:space="preserve"> </w:t>
      </w:r>
      <w:r w:rsidRPr="00010DF7">
        <w:rPr>
          <w:smallCaps/>
        </w:rPr>
        <w:t>North Atlantic Treaty Organization</w:t>
      </w:r>
      <w:r w:rsidRPr="00010DF7">
        <w:t xml:space="preserve">, </w:t>
      </w:r>
      <w:r w:rsidRPr="00010DF7">
        <w:rPr>
          <w:i/>
          <w:iCs/>
        </w:rPr>
        <w:t>Summary of the National Reports of NATO Member and Partner Nations to the NATO Committee on Gender Perspectives. Full Report</w:t>
      </w:r>
      <w:r w:rsidRPr="00010DF7">
        <w:t>,</w:t>
      </w:r>
      <w:r w:rsidRPr="00010DF7">
        <w:rPr>
          <w:i/>
          <w:iCs/>
        </w:rPr>
        <w:t xml:space="preserve"> </w:t>
      </w:r>
      <w:r w:rsidRPr="00010DF7">
        <w:t xml:space="preserve">2019, at 297, </w:t>
      </w:r>
      <w:hyperlink r:id="rId60" w:anchor="page=297" w:history="1">
        <w:r w:rsidRPr="00010DF7">
          <w:rPr>
            <w:rStyle w:val="Hyperlink"/>
          </w:rPr>
          <w:t>https://www.nato.int/nato_static_fl2014/assets/pdf/2021/9/pdf/NCGP_Full_Report_2019.pdf - page=297</w:t>
        </w:r>
      </w:hyperlink>
      <w:r w:rsidRPr="00010DF7">
        <w:t xml:space="preserve">. </w:t>
      </w:r>
    </w:p>
  </w:footnote>
  <w:footnote w:id="158">
    <w:p w14:paraId="20FF6A92" w14:textId="4AFC4BF7" w:rsidR="00094D41" w:rsidRPr="00010DF7" w:rsidRDefault="00094D41" w:rsidP="00094D41">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{"citationID":"V1mHL0Ax","properties":{"formattedCitation":"Hungary - Women, Peace, Security, https://www.globalwps.org/details/HUN (last visited Mar 13, 2023).","plainCitation":"Hungary - Women, Peace, Security, https://www.globalwps.org/details/HUN (last visited Mar 13, 2023).","dontUpdate":true,"noteIndex":142},"citationItems":[{"id":946,"uris":["http://zotero.org/users/10345638/items/EKXJ9478"],"itemData":{"id":946,"type":"webpage","title":"Hungary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Greece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https://www.globalwps.org/details/GRC (last visited Mar 13, 2023).</w:t>
      </w:r>
      <w:r w:rsidRPr="00010DF7">
        <w:fldChar w:fldCharType="end"/>
      </w:r>
    </w:p>
  </w:footnote>
  <w:footnote w:id="159">
    <w:p w14:paraId="7BD319F4" w14:textId="3C916F17" w:rsidR="0083613E" w:rsidRPr="00010DF7" w:rsidRDefault="0083613E" w:rsidP="0083613E">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{"citationID":"UNQnfCWy","properties":{"formattedCitation":"Hungary - Women, Peace, Security, https://www.globalwps.org/details/HUN (last visited Mar 13, 2023).","plainCitation":"Hungary - Women, Peace, Security, https://www.globalwps.org/details/HUN (last visited Mar 13, 2023).","dontUpdate":true,"noteIndex":143},"citationItems":[{"id":946,"uris":["http://zotero.org/users/10345638/items/EKXJ9478"],"itemData":{"id":946,"type":"webpage","title":"Hungary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Greece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https://www.globalwps.org/details/GRC (last visited Mar 13, 2023).</w:t>
      </w:r>
      <w:r w:rsidRPr="00010DF7">
        <w:fldChar w:fldCharType="end"/>
      </w:r>
    </w:p>
  </w:footnote>
  <w:footnote w:id="160">
    <w:p w14:paraId="03B8E509" w14:textId="77777777"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161">
    <w:p w14:paraId="212D8F97" w14:textId="390414E5" w:rsidR="00EB7CD7" w:rsidRPr="00010DF7" w:rsidRDefault="00EB7CD7" w:rsidP="00EB7CD7">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{"citationID":"cjKkQEnO","properties":{"formattedCitation":"Hungary - Women, Peace, Security, https://www.globalwps.org/details/HUN (last visited Mar 13, 2023).","plainCitation":"Hungary - Women, Peace, Security, https://www.globalwps.org/details/HUN (last visited Mar 13, 2023).","dontUpdate":true,"noteIndex":145},"citationItems":[{"id":946,"uris":["http://zotero.org/users/10345638/items/EKXJ9478"],"itemData":{"id":946,"type":"webpage","title":"Hungary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Hungary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https://www.globalwps.org/details/HUN (last visited Mar 13, 2023).</w:t>
      </w:r>
      <w:r w:rsidRPr="00010DF7">
        <w:fldChar w:fldCharType="end"/>
      </w:r>
    </w:p>
  </w:footnote>
  <w:footnote w:id="162">
    <w:p w14:paraId="0727574E" w14:textId="7BC1C00C" w:rsidR="00EB7CD7" w:rsidRPr="00010DF7" w:rsidRDefault="00EB7CD7" w:rsidP="00EB7CD7">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{"citationID":"lTvgbwzY","properties":{"formattedCitation":"Hungary - Women, Peace, Security, https://www.globalwps.org/details/HUN (last visited Mar 13, 2023).","plainCitation":"Hungary - Women, Peace, Security, https://www.globalwps.org/details/HUN (last visited Mar 13, 2023).","dontUpdate":true,"noteIndex":146},"citationItems":[{"id":946,"uris":["http://zotero.org/users/10345638/items/EKXJ9478"],"itemData":{"id":946,"type":"webpage","title":"Hungary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Hungary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https://www.globalwps.org/details/HUN (last visited Mar 13, 2023).</w:t>
      </w:r>
      <w:r w:rsidRPr="00010DF7">
        <w:fldChar w:fldCharType="end"/>
      </w:r>
    </w:p>
  </w:footnote>
  <w:footnote w:id="163">
    <w:p w14:paraId="1F74B3E7" w14:textId="019553B1" w:rsidR="00D4062B" w:rsidRPr="00010DF7" w:rsidRDefault="00D4062B" w:rsidP="00D4062B">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{"citationID":"HQmHG8a1","properties":{"formattedCitation":"Hungary - Women, Peace, Security, https://www.globalwps.org/details/HUN (last visited Mar 13, 2023).","plainCitation":"Hungary - Women, Peace, Security, https://www.globalwps.org/details/HUN (last visited Mar 13, 2023).","dontUpdate":true,"noteIndex":147},"citationItems":[{"id":946,"uris":["http://zotero.org/users/10345638/items/EKXJ9478"],"itemData":{"id":946,"type":"webpage","title":"Hungary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Hungary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https://www.globalwps.org/details/HUN (last visited Mar 13, 2023).</w:t>
      </w:r>
      <w:r w:rsidRPr="00010DF7">
        <w:fldChar w:fldCharType="end"/>
      </w:r>
    </w:p>
  </w:footnote>
  <w:footnote w:id="164">
    <w:p w14:paraId="15C9114B" w14:textId="6B6E08F1" w:rsidR="00E7483C" w:rsidRPr="00010DF7" w:rsidRDefault="00E7483C">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{"citationID":"GTAfZWVk","properties":{"formattedCitation":"Hungary - Women, Peace, Security, https://www.globalwps.org/details/HUN (last visited Mar 13, 2023).","plainCitation":"Hungary - Women, Peace, Security, https://www.globalwps.org/details/HUN (last visited Mar 13, 2023).","dontUpdate":true,"noteIndex":148},"citationItems":[{"id":946,"uris":["http://zotero.org/users/10345638/items/EKXJ9478"],"itemData":{"id":946,"type":"webpage","title":"Hungary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00E346E6" w:rsidRPr="00010DF7">
        <w:rPr>
          <w:noProof/>
        </w:rPr>
        <w:t>Hungary - Women, Peace, Security</w:t>
      </w:r>
      <w:r w:rsidR="00A90A07" w:rsidRPr="00010DF7">
        <w:rPr>
          <w:noProof/>
        </w:rPr>
        <w:t xml:space="preserve">. </w:t>
      </w:r>
      <w:r w:rsidR="00A90A07" w:rsidRPr="00010DF7">
        <w:rPr>
          <w:i/>
          <w:iCs/>
          <w:noProof/>
        </w:rPr>
        <w:t>Security Sector</w:t>
      </w:r>
      <w:r w:rsidR="00E346E6" w:rsidRPr="00010DF7">
        <w:rPr>
          <w:noProof/>
        </w:rPr>
        <w:t>,</w:t>
      </w:r>
      <w:r w:rsidR="00A90A07" w:rsidRPr="00010DF7">
        <w:rPr>
          <w:noProof/>
        </w:rPr>
        <w:t xml:space="preserve"> </w:t>
      </w:r>
      <w:r w:rsidR="004B269C" w:rsidRPr="00010DF7">
        <w:rPr>
          <w:smallCaps/>
          <w:noProof/>
        </w:rPr>
        <w:t>North Atlantic Treaty Organization,</w:t>
      </w:r>
      <w:r w:rsidR="00E346E6" w:rsidRPr="00010DF7">
        <w:rPr>
          <w:noProof/>
        </w:rPr>
        <w:t xml:space="preserve"> https://www.globalwps.org/details/HUN (last visited Mar 13, 2023).</w:t>
      </w:r>
      <w:r w:rsidRPr="00010DF7">
        <w:fldChar w:fldCharType="end"/>
      </w:r>
    </w:p>
  </w:footnote>
  <w:footnote w:id="165">
    <w:p w14:paraId="4BE9E9D6" w14:textId="77777777"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166">
    <w:p w14:paraId="2DF59864" w14:textId="0FE9DBFA" w:rsidR="00952995" w:rsidRPr="00010DF7" w:rsidRDefault="00952995">
      <w:pPr>
        <w:pStyle w:val="FootnoteText"/>
      </w:pPr>
      <w:r w:rsidRPr="00010DF7">
        <w:rPr>
          <w:rStyle w:val="FootnoteReference"/>
        </w:rPr>
        <w:footnoteRef/>
      </w:r>
      <w:r w:rsidRPr="00010DF7">
        <w:t xml:space="preserve"> </w:t>
      </w:r>
      <w:r w:rsidR="00EC6D0C" w:rsidRPr="00010DF7">
        <w:t xml:space="preserve">Government of Iceland, </w:t>
      </w:r>
      <w:r w:rsidR="00EC6D0C" w:rsidRPr="00010DF7">
        <w:rPr>
          <w:i/>
          <w:iCs/>
        </w:rPr>
        <w:t>Ministry for the Environment and Natural Resources, Update of the Nationally Determined Contribution of Iceland</w:t>
      </w:r>
      <w:r w:rsidR="00EC6D0C" w:rsidRPr="00010DF7">
        <w:t xml:space="preserve">, </w:t>
      </w:r>
      <w:r w:rsidRPr="00010DF7">
        <w:t xml:space="preserve">UNFCCC, </w:t>
      </w:r>
      <w:r w:rsidR="005777C4" w:rsidRPr="00010DF7">
        <w:t xml:space="preserve">Feb. 18, 2021, </w:t>
      </w:r>
      <w:r w:rsidRPr="00010DF7">
        <w:t xml:space="preserve">at 7, </w:t>
      </w:r>
      <w:hyperlink r:id="rId61" w:anchor="page=7" w:history="1">
        <w:r w:rsidRPr="00010DF7">
          <w:rPr>
            <w:rStyle w:val="Hyperlink"/>
          </w:rPr>
          <w:t>https://unfccc.int/sites/default/files/NDC/2022-06/Iceland_updated_NDC_Submission_Feb_2021.pdf - page=7</w:t>
        </w:r>
      </w:hyperlink>
      <w:r w:rsidRPr="00010DF7">
        <w:t xml:space="preserve">. </w:t>
      </w:r>
    </w:p>
  </w:footnote>
  <w:footnote w:id="167">
    <w:p w14:paraId="6C9A547B" w14:textId="77777777" w:rsidR="004F4148" w:rsidRPr="00C448CE" w:rsidRDefault="004F4148" w:rsidP="004F4148">
      <w:pPr>
        <w:pStyle w:val="FootnoteText"/>
      </w:pPr>
      <w:r>
        <w:rPr>
          <w:rStyle w:val="FootnoteReference"/>
        </w:rPr>
        <w:footnoteRef/>
      </w:r>
      <w:r>
        <w:t xml:space="preserve"> </w:t>
      </w:r>
      <w:r w:rsidRPr="00C448CE">
        <w:t xml:space="preserve">CEDAW, </w:t>
      </w:r>
      <w:r w:rsidRPr="00C448CE">
        <w:rPr>
          <w:i/>
          <w:iCs/>
        </w:rPr>
        <w:t>Concluding observations on the combined seventh and eighth periodic reports of Iceland</w:t>
      </w:r>
      <w:r w:rsidRPr="00C448CE">
        <w:t>, C/ISL/CO/7-8 (2016), paras. 25-26.</w:t>
      </w:r>
    </w:p>
  </w:footnote>
  <w:footnote w:id="168">
    <w:p w14:paraId="77A7EC70" w14:textId="77777777" w:rsidR="004F4148" w:rsidRPr="009B30F7" w:rsidRDefault="004F4148" w:rsidP="004F4148">
      <w:pPr>
        <w:pStyle w:val="FootnoteText"/>
      </w:pPr>
      <w:r>
        <w:rPr>
          <w:rStyle w:val="FootnoteReference"/>
        </w:rPr>
        <w:footnoteRef/>
      </w:r>
      <w:r>
        <w:t xml:space="preserve"> Iceland, </w:t>
      </w:r>
      <w:r w:rsidRPr="009B30F7">
        <w:rPr>
          <w:i/>
          <w:iCs/>
        </w:rPr>
        <w:t>Ninth periodic report submitted by Iceland under article 18 of the Convention, due in 2021</w:t>
      </w:r>
      <w:r>
        <w:t xml:space="preserve">, </w:t>
      </w:r>
      <w:r w:rsidRPr="009B30F7">
        <w:t>C/ISL/9 (2021), para. 68.</w:t>
      </w:r>
    </w:p>
  </w:footnote>
  <w:footnote w:id="169">
    <w:p w14:paraId="592862A8" w14:textId="6BD3F328" w:rsidR="006B76AE" w:rsidRPr="00010DF7" w:rsidRDefault="006B76AE" w:rsidP="006B76AE">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{"citationID":"eJXQ8jyZ","properties":{"formattedCitation":"Hungary - Women, Peace, Security, https://www.globalwps.org/details/HUN (last visited Mar 13, 2023).","plainCitation":"Hungary - Women, Peace, Security, https://www.globalwps.org/details/HUN (last visited Mar 13, 2023).","dontUpdate":true,"noteIndex":151},"citationItems":[{"id":946,"uris":["http://zotero.org/users/10345638/items/EKXJ9478"],"itemData":{"id":946,"type":"webpage","title":"Hungary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Iceland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https://www.globalwps.org/details/ISL (last visited Mar 13, 2023).</w:t>
      </w:r>
      <w:r w:rsidRPr="00010DF7">
        <w:fldChar w:fldCharType="end"/>
      </w:r>
    </w:p>
  </w:footnote>
  <w:footnote w:id="170">
    <w:p w14:paraId="5AE83E1F" w14:textId="25D8A9A6" w:rsidR="0001733E" w:rsidRPr="00010DF7" w:rsidRDefault="0001733E" w:rsidP="0001733E">
      <w:pPr>
        <w:pStyle w:val="FootnoteText"/>
      </w:pPr>
      <w:r w:rsidRPr="00010DF7">
        <w:rPr>
          <w:rStyle w:val="FootnoteReference"/>
        </w:rPr>
        <w:footnoteRef/>
      </w:r>
      <w:r w:rsidRPr="00010DF7">
        <w:t xml:space="preserve"> Caitlin Biddolph and Laura J. Shepherd, </w:t>
      </w:r>
      <w:r w:rsidRPr="00010DF7">
        <w:rPr>
          <w:i/>
          <w:iCs/>
        </w:rPr>
        <w:t>WPS National Action Plans: Content Analysis and Data Visualisation. Iceland</w:t>
      </w:r>
      <w:r w:rsidRPr="00010DF7">
        <w:t xml:space="preserve">, v3, 2022, </w:t>
      </w:r>
      <w:r w:rsidRPr="00010DF7">
        <w:rPr>
          <w:rFonts w:cs="Times New Roman"/>
          <w:smallCaps/>
          <w:lang w:val="en-GB"/>
        </w:rPr>
        <w:t>LSE - Women, Peace Security</w:t>
      </w:r>
      <w:r w:rsidRPr="00010DF7">
        <w:t xml:space="preserve">. Online, at </w:t>
      </w:r>
      <w:r w:rsidRPr="00010DF7">
        <w:fldChar w:fldCharType="begin"/>
      </w:r>
      <w:r w:rsidR="00AD6653" w:rsidRPr="00010DF7">
        <w:instrText xml:space="preserve"> ADDIN ZOTERO_ITEM CSL_CITATION {"citationID":"QAh2iPVI","properties":{"formattedCitation":"LSE-WPS National Action Plans: Albania, {\\scaps LSE - Women, Peace Security}, https://www.wpsnaps.org/nap/albanian-national-action-plan/ (last visited Mar 12, 2023).","plainCitation":"LSE-WPS National Action Plans: Albania, LSE - Women, Peace Security, https://www.wpsnaps.org/nap/albanian-national-action-plan/ (last visited Mar 12, 2023).","dontUpdate":true,"noteIndex":152},"citationItems":[{"id":934,"uris":["http://zotero.org/users/10345638/items/FT49W2NB"],"itemData":{"id":934,"type":"webpage","abstract":"Explore the Women, Peace and Security National Action Plans by region, country, year and topic.","container-title":"LSE - Women, Peace Security","language":"en-GB","title":"LSE-WPS National Action Plans: Albania","URL":"https://www.wpsnaps.org/nap/albanian-national-action-plan/","accessed":{"date-parts":[["2023",3,12]]}}}],"schema":"https://github.com/citation-style-language/schema/raw/master/csl-citation.json"} </w:instrText>
      </w:r>
      <w:r w:rsidRPr="00010DF7">
        <w:fldChar w:fldCharType="separate"/>
      </w:r>
      <w:r w:rsidR="00E5343E" w:rsidRPr="00010DF7">
        <w:t xml:space="preserve"> </w:t>
      </w:r>
      <w:r w:rsidR="00E5343E" w:rsidRPr="00010DF7">
        <w:rPr>
          <w:rFonts w:cs="Times New Roman"/>
          <w:lang w:val="en-GB"/>
        </w:rPr>
        <w:t>https://www.wpsnaps.org/nap/icelandic-national-action-plan-iii/</w:t>
      </w:r>
      <w:r w:rsidRPr="00010DF7">
        <w:rPr>
          <w:rFonts w:cs="Times New Roman"/>
          <w:lang w:val="en-GB"/>
        </w:rPr>
        <w:t xml:space="preserve"> (last visited Mar 12, 2023).</w:t>
      </w:r>
      <w:r w:rsidRPr="00010DF7">
        <w:fldChar w:fldCharType="end"/>
      </w:r>
    </w:p>
    <w:p w14:paraId="69D63CD2" w14:textId="77777777" w:rsidR="0001733E" w:rsidRPr="00010DF7" w:rsidRDefault="0001733E">
      <w:pPr>
        <w:pStyle w:val="FootnoteText"/>
      </w:pPr>
    </w:p>
  </w:footnote>
  <w:footnote w:id="171">
    <w:p w14:paraId="20755246" w14:textId="77777777" w:rsidR="003E416F" w:rsidRPr="00010DF7" w:rsidRDefault="003E416F" w:rsidP="003E416F">
      <w:pPr>
        <w:pStyle w:val="FootnoteText"/>
      </w:pPr>
      <w:r w:rsidRPr="00010DF7">
        <w:rPr>
          <w:rStyle w:val="FootnoteReference"/>
        </w:rPr>
        <w:footnoteRef/>
      </w:r>
      <w:r w:rsidRPr="00010DF7">
        <w:t xml:space="preserve"> Ministry for Foreign Affairs, Iceland’s National Action Plan On Women, Peace And Security 2018-2022, </w:t>
      </w:r>
      <w:r w:rsidRPr="00010DF7">
        <w:rPr>
          <w:rFonts w:cs="Times New Roman"/>
          <w:smallCaps/>
          <w:lang w:val="en-GB"/>
        </w:rPr>
        <w:t>LSE - Women, Peace Security</w:t>
      </w:r>
      <w:r w:rsidRPr="00010DF7">
        <w:t xml:space="preserve">, at 14-15, </w:t>
      </w:r>
      <w:hyperlink r:id="rId62" w:history="1">
        <w:r w:rsidRPr="00010DF7">
          <w:rPr>
            <w:rStyle w:val="Hyperlink"/>
          </w:rPr>
          <w:t>https://www.wpsnaps.org/app/uploads/2019/09/Iceland-NAP-3-2018-2022.pdf</w:t>
        </w:r>
      </w:hyperlink>
      <w:r w:rsidRPr="00010DF7">
        <w:t xml:space="preserve"> </w:t>
      </w:r>
      <w:r w:rsidRPr="00010DF7">
        <w:rPr>
          <w:rFonts w:cs="Times New Roman"/>
          <w:lang w:val="en-GB"/>
        </w:rPr>
        <w:t>(last visited Mar 12, 2023).</w:t>
      </w:r>
    </w:p>
  </w:footnote>
  <w:footnote w:id="172">
    <w:p w14:paraId="319E158E" w14:textId="02677FE1" w:rsidR="003D01A2" w:rsidRPr="00010DF7" w:rsidRDefault="003D01A2">
      <w:pPr>
        <w:pStyle w:val="FootnoteText"/>
      </w:pPr>
      <w:r w:rsidRPr="00010DF7">
        <w:rPr>
          <w:rStyle w:val="FootnoteReference"/>
        </w:rPr>
        <w:footnoteRef/>
      </w:r>
      <w:r w:rsidRPr="00010DF7">
        <w:t xml:space="preserve"> </w:t>
      </w:r>
      <w:r w:rsidR="000A44DA" w:rsidRPr="00010DF7">
        <w:t xml:space="preserve">Public Service Management (Recruitment and Appointments) Act 2004 (Act No. 33/2004) (Ir.), §37(1)(c), </w:t>
      </w:r>
      <w:hyperlink r:id="rId63" w:history="1">
        <w:r w:rsidR="000A44DA" w:rsidRPr="00010DF7">
          <w:rPr>
            <w:rStyle w:val="Hyperlink"/>
          </w:rPr>
          <w:t>https://www.irishstatutebook.ie/eli/2004/act/33/enacted/en/pdf</w:t>
        </w:r>
      </w:hyperlink>
      <w:r w:rsidR="000A44DA" w:rsidRPr="00010DF7">
        <w:t xml:space="preserve">. </w:t>
      </w:r>
    </w:p>
  </w:footnote>
  <w:footnote w:id="173">
    <w:p w14:paraId="0CB4A23F" w14:textId="77777777" w:rsidR="00DE7F10" w:rsidRPr="00C448CE" w:rsidRDefault="00DE7F10" w:rsidP="00DE7F10">
      <w:pPr>
        <w:pStyle w:val="FootnoteText"/>
      </w:pPr>
      <w:r>
        <w:rPr>
          <w:rStyle w:val="FootnoteReference"/>
        </w:rPr>
        <w:footnoteRef/>
      </w:r>
      <w:r>
        <w:t xml:space="preserve"> </w:t>
      </w:r>
      <w:r w:rsidRPr="00C448CE">
        <w:t xml:space="preserve">CEDAW, </w:t>
      </w:r>
      <w:r w:rsidRPr="00C448CE">
        <w:rPr>
          <w:i/>
          <w:iCs/>
        </w:rPr>
        <w:t>Concluding observations on the combined sixth and seventh periodic reports of Ireland</w:t>
      </w:r>
      <w:r w:rsidRPr="00C448CE">
        <w:t>, C/IRL/CO/6-7 (2017), para</w:t>
      </w:r>
      <w:r>
        <w:t>s</w:t>
      </w:r>
      <w:r w:rsidRPr="00C448CE">
        <w:t>.</w:t>
      </w:r>
      <w:r>
        <w:t xml:space="preserve"> 34-35.</w:t>
      </w:r>
    </w:p>
  </w:footnote>
  <w:footnote w:id="174">
    <w:p w14:paraId="0C15361A" w14:textId="77777777" w:rsidR="00556909" w:rsidRPr="00010DF7" w:rsidRDefault="00556909" w:rsidP="00556909">
      <w:pPr>
        <w:pStyle w:val="FootnoteText"/>
      </w:pPr>
      <w:r w:rsidRPr="00010DF7">
        <w:rPr>
          <w:rStyle w:val="FootnoteReference"/>
        </w:rPr>
        <w:footnoteRef/>
      </w:r>
      <w:r w:rsidRPr="00010DF7">
        <w:t xml:space="preserve"> </w:t>
      </w:r>
      <w:r w:rsidRPr="00010DF7">
        <w:rPr>
          <w:i/>
          <w:iCs/>
        </w:rPr>
        <w:t>Women barely tolerated in Irish Defence Forces, says report</w:t>
      </w:r>
      <w:r w:rsidRPr="00010DF7">
        <w:t>, BBC, (28 March 2023), https://www.bbc.com/news/articles/ce743pgw7r0o.</w:t>
      </w:r>
    </w:p>
  </w:footnote>
  <w:footnote w:id="175">
    <w:p w14:paraId="753C7B1A" w14:textId="77777777" w:rsidR="004C44B1" w:rsidRPr="00C448CE" w:rsidRDefault="004C44B1" w:rsidP="004C44B1">
      <w:pPr>
        <w:pStyle w:val="FootnoteText"/>
      </w:pPr>
      <w:r>
        <w:rPr>
          <w:rStyle w:val="FootnoteReference"/>
        </w:rPr>
        <w:footnoteRef/>
      </w:r>
      <w:r>
        <w:t xml:space="preserve"> </w:t>
      </w:r>
      <w:r w:rsidRPr="00C448CE">
        <w:t xml:space="preserve">CEDAW, </w:t>
      </w:r>
      <w:r w:rsidRPr="00C448CE">
        <w:rPr>
          <w:i/>
          <w:iCs/>
        </w:rPr>
        <w:t>Concluding observations on the combined sixth and seventh periodic reports of Ireland</w:t>
      </w:r>
      <w:r w:rsidRPr="00C448CE">
        <w:t>, C/IRL/CO/6-7 (2017), para</w:t>
      </w:r>
      <w:r>
        <w:t>s</w:t>
      </w:r>
      <w:r w:rsidRPr="00C448CE">
        <w:t>.</w:t>
      </w:r>
      <w:r>
        <w:t xml:space="preserve"> 36-37.</w:t>
      </w:r>
    </w:p>
  </w:footnote>
  <w:footnote w:id="176">
    <w:p w14:paraId="72EE803E" w14:textId="77777777"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177">
    <w:p w14:paraId="7F6531F8" w14:textId="248A3CB8" w:rsidR="00CC54B2" w:rsidRPr="00010DF7" w:rsidRDefault="00CC54B2" w:rsidP="00837DBB">
      <w:pPr>
        <w:pStyle w:val="FootnoteText"/>
      </w:pPr>
      <w:r w:rsidRPr="00010DF7">
        <w:rPr>
          <w:rStyle w:val="FootnoteReference"/>
        </w:rPr>
        <w:footnoteRef/>
      </w:r>
      <w:r w:rsidRPr="00010DF7">
        <w:t xml:space="preserve"> </w:t>
      </w:r>
      <w:r w:rsidR="00837DBB" w:rsidRPr="00010DF7">
        <w:t xml:space="preserve">Government of Ireland, </w:t>
      </w:r>
      <w:r w:rsidR="00837DBB" w:rsidRPr="00010DF7">
        <w:rPr>
          <w:i/>
          <w:iCs/>
        </w:rPr>
        <w:t>Women, Peace and Security Ireland's third National Action Plan for the implementation of UNSCR 1325 and related resolutions 2019–2024</w:t>
      </w:r>
      <w:r w:rsidR="00837DBB" w:rsidRPr="00010DF7">
        <w:t xml:space="preserve">, </w:t>
      </w:r>
      <w:r w:rsidR="00837DBB" w:rsidRPr="00010DF7">
        <w:rPr>
          <w:rFonts w:cs="Times New Roman"/>
          <w:smallCaps/>
          <w:lang w:val="en-GB"/>
        </w:rPr>
        <w:t xml:space="preserve">LSE - Women, Peace Security, </w:t>
      </w:r>
      <w:r w:rsidR="00837DBB" w:rsidRPr="00010DF7">
        <w:t>https://www.wpsnaps.org/app/uploads/2019/09/Ireland-NAP-3-2019-2024.pdf</w:t>
      </w:r>
    </w:p>
  </w:footnote>
  <w:footnote w:id="178">
    <w:p w14:paraId="58791BDA" w14:textId="05D471F7" w:rsidR="00716C9E" w:rsidRPr="00010DF7" w:rsidRDefault="00716C9E" w:rsidP="00716C9E">
      <w:pPr>
        <w:pStyle w:val="FootnoteText"/>
      </w:pPr>
      <w:r w:rsidRPr="00010DF7">
        <w:rPr>
          <w:rStyle w:val="FootnoteReference"/>
        </w:rPr>
        <w:footnoteRef/>
      </w:r>
      <w:r w:rsidRPr="00010DF7">
        <w:t xml:space="preserve"> Caitlin Biddolph and Laura J. Shepherd, </w:t>
      </w:r>
      <w:r w:rsidRPr="00010DF7">
        <w:rPr>
          <w:i/>
          <w:iCs/>
        </w:rPr>
        <w:t>WPS National Action Plans: Content Analysis and Data Visualisation. Ireland</w:t>
      </w:r>
      <w:r w:rsidRPr="00010DF7">
        <w:t xml:space="preserve">, v3, 2022, </w:t>
      </w:r>
      <w:r w:rsidRPr="00010DF7">
        <w:rPr>
          <w:rFonts w:cs="Times New Roman"/>
          <w:smallCaps/>
          <w:lang w:val="en-GB"/>
        </w:rPr>
        <w:t>LSE - Women, Peace Security</w:t>
      </w:r>
      <w:r w:rsidRPr="00010DF7">
        <w:t xml:space="preserve">. Online, at </w:t>
      </w:r>
      <w:r w:rsidRPr="00010DF7">
        <w:fldChar w:fldCharType="begin"/>
      </w:r>
      <w:r w:rsidR="00AD6653" w:rsidRPr="00010DF7">
        <w:instrText xml:space="preserve"> ADDIN ZOTERO_ITEM CSL_CITATION {"citationID":"lHaP5Pid","properties":{"formattedCitation":"LSE-WPS National Action Plans: Albania, {\\scaps LSE - Women, Peace Security}, https://www.wpsnaps.org/nap/albanian-national-action-plan/ (last visited Mar 12, 2023).","plainCitation":"LSE-WPS National Action Plans: Albania, LSE - Women, Peace Security, https://www.wpsnaps.org/nap/albanian-national-action-plan/ (last visited Mar 12, 2023).","dontUpdate":true,"noteIndex":158},"citationItems":[{"id":934,"uris":["http://zotero.org/users/10345638/items/FT49W2NB"],"itemData":{"id":934,"type":"webpage","abstract":"Explore the Women, Peace and Security National Action Plans by region, country, year and topic.","container-title":"LSE - Women, Peace Security","language":"en-GB","title":"LSE-WPS National Action Plans: Albania","URL":"https://www.wpsnaps.org/nap/albanian-national-action-plan/","accessed":{"date-parts":[["2023",3,12]]}}}],"schema":"https://github.com/citation-style-language/schema/raw/master/csl-citation.json"} </w:instrText>
      </w:r>
      <w:r w:rsidRPr="00010DF7">
        <w:fldChar w:fldCharType="separate"/>
      </w:r>
      <w:r w:rsidRPr="00010DF7">
        <w:t xml:space="preserve"> </w:t>
      </w:r>
      <w:r w:rsidR="00CC54B2" w:rsidRPr="00010DF7">
        <w:t xml:space="preserve">https://www.wpsnaps.org/nap/irish-national-action-plan-iii/ </w:t>
      </w:r>
      <w:r w:rsidRPr="00010DF7">
        <w:rPr>
          <w:rFonts w:cs="Times New Roman"/>
          <w:lang w:val="en-GB"/>
        </w:rPr>
        <w:t xml:space="preserve">(last visited </w:t>
      </w:r>
      <w:r w:rsidR="00CC54B2" w:rsidRPr="00010DF7">
        <w:rPr>
          <w:rFonts w:cs="Times New Roman"/>
          <w:lang w:val="en-GB"/>
        </w:rPr>
        <w:t>Apr.</w:t>
      </w:r>
      <w:r w:rsidRPr="00010DF7">
        <w:rPr>
          <w:rFonts w:cs="Times New Roman"/>
          <w:lang w:val="en-GB"/>
        </w:rPr>
        <w:t xml:space="preserve"> 12, 2023).</w:t>
      </w:r>
      <w:r w:rsidRPr="00010DF7">
        <w:fldChar w:fldCharType="end"/>
      </w:r>
    </w:p>
  </w:footnote>
  <w:footnote w:id="179">
    <w:p w14:paraId="571BEB06" w14:textId="61852E46" w:rsidR="00320AD6" w:rsidRPr="00010DF7" w:rsidRDefault="00320AD6" w:rsidP="00320AD6">
      <w:pPr>
        <w:pStyle w:val="FootnoteText"/>
      </w:pPr>
      <w:r w:rsidRPr="00010DF7">
        <w:rPr>
          <w:rStyle w:val="FootnoteReference"/>
        </w:rPr>
        <w:footnoteRef/>
      </w:r>
      <w:r w:rsidRPr="00010DF7">
        <w:t xml:space="preserve"> Government of Ireland, Women, Peace and Security Ireland's third National Action Plan for the implementation of UNSCR 1325 and related resolutions 2019–2024, </w:t>
      </w:r>
      <w:r w:rsidRPr="00010DF7">
        <w:rPr>
          <w:rFonts w:cs="Times New Roman"/>
          <w:smallCaps/>
          <w:lang w:val="en-GB"/>
        </w:rPr>
        <w:t xml:space="preserve">LSE - Women, Peace Security, </w:t>
      </w:r>
      <w:r w:rsidRPr="00010DF7">
        <w:rPr>
          <w:rFonts w:cs="Times New Roman"/>
          <w:lang w:val="en-GB"/>
        </w:rPr>
        <w:t>at p.</w:t>
      </w:r>
      <w:r w:rsidR="00856468" w:rsidRPr="00010DF7">
        <w:rPr>
          <w:rFonts w:cs="Times New Roman"/>
          <w:lang w:val="en-GB"/>
        </w:rPr>
        <w:t>15-16,</w:t>
      </w:r>
      <w:r w:rsidRPr="00010DF7">
        <w:rPr>
          <w:rFonts w:cs="Times New Roman"/>
          <w:smallCaps/>
          <w:lang w:val="en-GB"/>
        </w:rPr>
        <w:t xml:space="preserve"> </w:t>
      </w:r>
      <w:r w:rsidRPr="00010DF7">
        <w:t>https://www.wpsnaps.org/app/uploads/2019/09/Ireland-NAP-3-2019-2024.pdf</w:t>
      </w:r>
      <w:r w:rsidR="00856468" w:rsidRPr="00010DF7">
        <w:t>.</w:t>
      </w:r>
    </w:p>
  </w:footnote>
  <w:footnote w:id="180">
    <w:p w14:paraId="7B459136" w14:textId="6071CDCB" w:rsidR="00BA08C3" w:rsidRPr="00010DF7" w:rsidRDefault="00BA08C3" w:rsidP="00BA08C3">
      <w:pPr>
        <w:pStyle w:val="FootnoteText"/>
      </w:pPr>
      <w:r w:rsidRPr="00010DF7">
        <w:rPr>
          <w:rStyle w:val="FootnoteReference"/>
        </w:rPr>
        <w:footnoteRef/>
      </w:r>
      <w:r w:rsidRPr="00010DF7">
        <w:t xml:space="preserve"> Government of Ireland, Women, Peace and Security Ireland's third National Action Plan for the implementation of UNSCR 1325 and related resolutions 2019–2024, </w:t>
      </w:r>
      <w:r w:rsidRPr="00010DF7">
        <w:rPr>
          <w:rFonts w:cs="Times New Roman"/>
          <w:smallCaps/>
          <w:lang w:val="en-GB"/>
        </w:rPr>
        <w:t xml:space="preserve">LSE - Women, Peace Security, </w:t>
      </w:r>
      <w:r w:rsidRPr="00010DF7">
        <w:rPr>
          <w:rFonts w:cs="Times New Roman"/>
          <w:lang w:val="en-GB"/>
        </w:rPr>
        <w:t>at p.</w:t>
      </w:r>
      <w:r w:rsidR="00AD2C72" w:rsidRPr="00010DF7">
        <w:rPr>
          <w:rFonts w:cs="Times New Roman"/>
          <w:lang w:val="en-GB"/>
        </w:rPr>
        <w:t>32-33</w:t>
      </w:r>
      <w:r w:rsidRPr="00010DF7">
        <w:rPr>
          <w:rFonts w:cs="Times New Roman"/>
          <w:lang w:val="en-GB"/>
        </w:rPr>
        <w:t>,</w:t>
      </w:r>
      <w:r w:rsidRPr="00010DF7">
        <w:rPr>
          <w:rFonts w:cs="Times New Roman"/>
          <w:smallCaps/>
          <w:lang w:val="en-GB"/>
        </w:rPr>
        <w:t xml:space="preserve"> </w:t>
      </w:r>
      <w:r w:rsidRPr="00010DF7">
        <w:t>https://www.wpsnaps.org/app/uploads/2019/09/Ireland-NAP-3-2019-2024.pdf.</w:t>
      </w:r>
    </w:p>
  </w:footnote>
  <w:footnote w:id="181">
    <w:p w14:paraId="23C31841" w14:textId="241D447D" w:rsidR="008A28A5" w:rsidRPr="00010DF7" w:rsidRDefault="008A28A5" w:rsidP="008A28A5">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{"citationID":"1WJBEn7R","properties":{"formattedCitation":"Hungary - Women, Peace, Security, https://www.globalwps.org/details/HUN (last visited Mar 13, 2023).","plainCitation":"Hungary - Women, Peace, Security, https://www.globalwps.org/details/HUN (last visited Mar 13, 2023).","dontUpdate":true,"noteIndex":161},"citationItems":[{"id":946,"uris":["http://zotero.org/users/10345638/items/EKXJ9478"],"itemData":{"id":946,"type":"webpage","title":"Hungary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Italy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https://www.globalwps.org/details/ITA (last visited Mar 13, 2023).</w:t>
      </w:r>
      <w:r w:rsidRPr="00010DF7">
        <w:fldChar w:fldCharType="end"/>
      </w:r>
    </w:p>
  </w:footnote>
  <w:footnote w:id="182">
    <w:p w14:paraId="7D26DE60" w14:textId="109A1C98" w:rsidR="00CC3895" w:rsidRPr="00010DF7" w:rsidRDefault="00CC3895" w:rsidP="00CC3895">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{"citationID":"LUPu6TLO","properties":{"formattedCitation":"Hungary - Women, Peace, Security, https://www.globalwps.org/details/HUN (last visited Mar 13, 2023).","plainCitation":"Hungary - Women, Peace, Security, https://www.globalwps.org/details/HUN (last visited Mar 13, 2023).","dontUpdate":true,"noteIndex":162},"citationItems":[{"id":946,"uris":["http://zotero.org/users/10345638/items/EKXJ9478"],"itemData":{"id":946,"type":"webpage","title":"Hungary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Italy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https://www.globalwps.org/details/ITA (last visited Mar 13, 2023).</w:t>
      </w:r>
      <w:r w:rsidRPr="00010DF7">
        <w:fldChar w:fldCharType="end"/>
      </w:r>
    </w:p>
  </w:footnote>
  <w:footnote w:id="183">
    <w:p w14:paraId="36E04038" w14:textId="7037DF44" w:rsidR="00D91017" w:rsidRPr="00010DF7" w:rsidRDefault="00D91017" w:rsidP="00D91017">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{"citationID":"4JudQIi4","properties":{"formattedCitation":"Hungary - Women, Peace, Security, https://www.globalwps.org/details/HUN (last visited Mar 13, 2023).","plainCitation":"Hungary - Women, Peace, Security, https://www.globalwps.org/details/HUN (last visited Mar 13, 2023).","dontUpdate":true,"noteIndex":163},"citationItems":[{"id":946,"uris":["http://zotero.org/users/10345638/items/EKXJ9478"],"itemData":{"id":946,"type":"webpage","title":"Hungary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Italy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https://www.globalwps.org/details/ITA (last visited Mar 13, 2023).</w:t>
      </w:r>
      <w:r w:rsidRPr="00010DF7">
        <w:fldChar w:fldCharType="end"/>
      </w:r>
    </w:p>
  </w:footnote>
  <w:footnote w:id="184">
    <w:p w14:paraId="540C6468" w14:textId="5D00D74F" w:rsidR="00D91017" w:rsidRPr="00010DF7" w:rsidRDefault="00D91017" w:rsidP="00D91017">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{"citationID":"2BorfJUs","properties":{"formattedCitation":"Hungary - Women, Peace, Security, https://www.globalwps.org/details/HUN (last visited Mar 13, 2023).","plainCitation":"Hungary - Women, Peace, Security, https://www.globalwps.org/details/HUN (last visited Mar 13, 2023).","dontUpdate":true,"noteIndex":164},"citationItems":[{"id":946,"uris":["http://zotero.org/users/10345638/items/EKXJ9478"],"itemData":{"id":946,"type":"webpage","title":"Hungary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Italy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https://www.globalwps.org/details/ITA (last visited Mar 13, 2023).</w:t>
      </w:r>
      <w:r w:rsidRPr="00010DF7">
        <w:fldChar w:fldCharType="end"/>
      </w:r>
    </w:p>
  </w:footnote>
  <w:footnote w:id="185">
    <w:p w14:paraId="51FD640A" w14:textId="77777777"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186">
    <w:p w14:paraId="42CF6BBC" w14:textId="0EDA0C06" w:rsidR="00B35A82" w:rsidRPr="00010DF7" w:rsidRDefault="00B35A82" w:rsidP="00B35A82">
      <w:pPr>
        <w:pStyle w:val="FootnoteText"/>
      </w:pPr>
      <w:r w:rsidRPr="00010DF7">
        <w:rPr>
          <w:rStyle w:val="FootnoteReference"/>
        </w:rPr>
        <w:footnoteRef/>
      </w:r>
      <w:r w:rsidRPr="00010DF7">
        <w:t xml:space="preserve"> Caitlin Biddolph and Laura J. Shepherd, </w:t>
      </w:r>
      <w:r w:rsidRPr="00010DF7">
        <w:rPr>
          <w:i/>
          <w:iCs/>
        </w:rPr>
        <w:t>WPS National Action Plans: Content Analysis and Data Visualisation. Italy</w:t>
      </w:r>
      <w:r w:rsidRPr="00010DF7">
        <w:t xml:space="preserve">, v3, 2022, </w:t>
      </w:r>
      <w:r w:rsidRPr="00010DF7">
        <w:rPr>
          <w:rFonts w:cs="Times New Roman"/>
          <w:smallCaps/>
          <w:lang w:val="en-GB"/>
        </w:rPr>
        <w:t>LSE - Women, Peace Security</w:t>
      </w:r>
      <w:r w:rsidRPr="00010DF7">
        <w:t xml:space="preserve">. Online, at </w:t>
      </w:r>
      <w:r w:rsidRPr="00010DF7">
        <w:fldChar w:fldCharType="begin"/>
      </w:r>
      <w:r w:rsidR="00AD6653" w:rsidRPr="00010DF7">
        <w:instrText xml:space="preserve"> ADDIN ZOTERO_ITEM CSL_CITATION {"citationID":"uFjBL8Rn","properties":{"formattedCitation":"LSE-WPS National Action Plans: Albania, {\\scaps LSE - Women, Peace Security}, https://www.wpsnaps.org/nap/albanian-national-action-plan/ (last visited Mar 12, 2023).","plainCitation":"LSE-WPS National Action Plans: Albania, LSE - Women, Peace Security, https://www.wpsnaps.org/nap/albanian-national-action-plan/ (last visited Mar 12, 2023).","dontUpdate":true,"noteIndex":166},"citationItems":[{"id":934,"uris":["http://zotero.org/users/10345638/items/FT49W2NB"],"itemData":{"id":934,"type":"webpage","abstract":"Explore the Women, Peace and Security National Action Plans by region, country, year and topic.","container-title":"LSE - Women, Peace Security","language":"en-GB","title":"LSE-WPS National Action Plans: Albania","URL":"https://www.wpsnaps.org/nap/albanian-national-action-plan/","accessed":{"date-parts":[["2023",3,12]]}}}],"schema":"https://github.com/citation-style-language/schema/raw/master/csl-citation.json"} </w:instrText>
      </w:r>
      <w:r w:rsidRPr="00010DF7">
        <w:fldChar w:fldCharType="separate"/>
      </w:r>
      <w:r w:rsidRPr="00010DF7">
        <w:t xml:space="preserve"> https://www.wpsnaps.org/nap/italian-national-action-plan-iv/ </w:t>
      </w:r>
      <w:r w:rsidRPr="00010DF7">
        <w:rPr>
          <w:rFonts w:cs="Times New Roman"/>
          <w:lang w:val="en-GB"/>
        </w:rPr>
        <w:t>(last visited Apr. 17, 2023).</w:t>
      </w:r>
      <w:r w:rsidRPr="00010DF7">
        <w:fldChar w:fldCharType="end"/>
      </w:r>
    </w:p>
  </w:footnote>
  <w:footnote w:id="187">
    <w:p w14:paraId="58B5FC3C" w14:textId="4A0EEF93" w:rsidR="00B70F6E" w:rsidRPr="00010DF7" w:rsidRDefault="00B70F6E" w:rsidP="00B70F6E">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{"citationID":"WwL1Kl9H","properties":{"formattedCitation":"Hungary - Women, Peace, Security, https://www.globalwps.org/details/HUN (last visited Mar 13, 2023).","plainCitation":"Hungary - Women, Peace, Security, https://www.globalwps.org/details/HUN (last visited Mar 13, 2023).","dontUpdate":true,"noteIndex":167},"citationItems":[{"id":946,"uris":["http://zotero.org/users/10345638/items/EKXJ9478"],"itemData":{"id":946,"type":"webpage","title":"Hungary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Latvia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https://www.globalwps.org/details/LVA (last visited Mar 13, 2023).</w:t>
      </w:r>
      <w:r w:rsidRPr="00010DF7">
        <w:fldChar w:fldCharType="end"/>
      </w:r>
    </w:p>
  </w:footnote>
  <w:footnote w:id="188">
    <w:p w14:paraId="30990CAE" w14:textId="169AD56C" w:rsidR="00C3032F" w:rsidRPr="00010DF7" w:rsidRDefault="00C3032F" w:rsidP="00C3032F">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{"citationID":"XPR5V9dp","properties":{"formattedCitation":"Hungary - Women, Peace, Security, https://www.globalwps.org/details/HUN (last visited Mar 13, 2023).","plainCitation":"Hungary - Women, Peace, Security, https://www.globalwps.org/details/HUN (last visited Mar 13, 2023).","dontUpdate":true,"noteIndex":168},"citationItems":[{"id":946,"uris":["http://zotero.org/users/10345638/items/EKXJ9478"],"itemData":{"id":946,"type":"webpage","title":"Hungary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Latvia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https://www.globalwps.org/details/LVA (last visited Mar 13, 2023).</w:t>
      </w:r>
      <w:r w:rsidRPr="00010DF7">
        <w:fldChar w:fldCharType="end"/>
      </w:r>
    </w:p>
  </w:footnote>
  <w:footnote w:id="189">
    <w:p w14:paraId="7A883D82" w14:textId="7D7F4EBA" w:rsidR="00C3032F" w:rsidRPr="00010DF7" w:rsidRDefault="00C3032F" w:rsidP="00C3032F">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{"citationID":"9NLNZTyY","properties":{"formattedCitation":"Hungary - Women, Peace, Security, https://www.globalwps.org/details/HUN (last visited Mar 13, 2023).","plainCitation":"Hungary - Women, Peace, Security, https://www.globalwps.org/details/HUN (last visited Mar 13, 2023).","dontUpdate":true,"noteIndex":169},"citationItems":[{"id":946,"uris":["http://zotero.org/users/10345638/items/EKXJ9478"],"itemData":{"id":946,"type":"webpage","title":"Hungary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Latvia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https://www.globalwps.org/details/LVA (last visited Mar 13, 2023).</w:t>
      </w:r>
      <w:r w:rsidRPr="00010DF7">
        <w:fldChar w:fldCharType="end"/>
      </w:r>
    </w:p>
  </w:footnote>
  <w:footnote w:id="190">
    <w:p w14:paraId="23383FC1" w14:textId="762068E1"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r w:rsidR="00B21176" w:rsidRPr="00010DF7">
        <w:t xml:space="preserve"> </w:t>
      </w:r>
    </w:p>
  </w:footnote>
  <w:footnote w:id="191">
    <w:p w14:paraId="790A8567" w14:textId="5ABA789F" w:rsidR="0081457E" w:rsidRPr="00010DF7" w:rsidRDefault="0081457E" w:rsidP="00B21176">
      <w:pPr>
        <w:pStyle w:val="FootnoteText"/>
      </w:pPr>
      <w:r w:rsidRPr="00010DF7">
        <w:rPr>
          <w:rStyle w:val="FootnoteReference"/>
        </w:rPr>
        <w:footnoteRef/>
      </w:r>
      <w:r w:rsidRPr="00010DF7">
        <w:t xml:space="preserve"> </w:t>
      </w:r>
      <w:r w:rsidR="00B21176" w:rsidRPr="00010DF7">
        <w:t>National Action Plan on the Implementation of the UN Security Council Resolution 1325 on Women, Peace and Security in Latvia for the period of 2020-2025</w:t>
      </w:r>
      <w:r w:rsidRPr="00010DF7">
        <w:t xml:space="preserve">, </w:t>
      </w:r>
      <w:r w:rsidRPr="00010DF7">
        <w:rPr>
          <w:rFonts w:cs="Times New Roman"/>
          <w:smallCaps/>
          <w:lang w:val="en-GB"/>
        </w:rPr>
        <w:t>LSE - Women, Peace Security,</w:t>
      </w:r>
      <w:r w:rsidR="006462E3" w:rsidRPr="00010DF7">
        <w:rPr>
          <w:rFonts w:cs="Times New Roman"/>
          <w:smallCaps/>
          <w:lang w:val="en-GB"/>
        </w:rPr>
        <w:t xml:space="preserve"> </w:t>
      </w:r>
      <w:r w:rsidR="006462E3" w:rsidRPr="00010DF7">
        <w:rPr>
          <w:rFonts w:cs="Times New Roman"/>
          <w:lang w:val="en-GB"/>
        </w:rPr>
        <w:t>at p.</w:t>
      </w:r>
      <w:r w:rsidR="002D1EEF" w:rsidRPr="00010DF7">
        <w:rPr>
          <w:rFonts w:cs="Times New Roman"/>
          <w:lang w:val="en-GB"/>
        </w:rPr>
        <w:t>11,</w:t>
      </w:r>
      <w:r w:rsidRPr="00010DF7">
        <w:rPr>
          <w:rFonts w:cs="Times New Roman"/>
          <w:smallCaps/>
          <w:lang w:val="en-GB"/>
        </w:rPr>
        <w:t xml:space="preserve"> </w:t>
      </w:r>
      <w:hyperlink r:id="rId64" w:history="1">
        <w:r w:rsidR="00B21176" w:rsidRPr="00010DF7">
          <w:rPr>
            <w:rStyle w:val="Hyperlink"/>
            <w:rFonts w:cs="Times New Roman"/>
            <w:lang w:val="en-GB"/>
          </w:rPr>
          <w:t>https://www.wpsnaps.org/app/uploads/2021/01/Latvia-NAP-2020-2025.pdf</w:t>
        </w:r>
      </w:hyperlink>
      <w:r w:rsidR="00B21176" w:rsidRPr="00010DF7">
        <w:rPr>
          <w:rFonts w:cs="Times New Roman"/>
          <w:lang w:val="en-GB"/>
        </w:rPr>
        <w:t xml:space="preserve"> (last visited Apr. 17, 2023).</w:t>
      </w:r>
      <w:r w:rsidR="00B21176" w:rsidRPr="00010DF7">
        <w:t xml:space="preserve"> </w:t>
      </w:r>
    </w:p>
  </w:footnote>
  <w:footnote w:id="192">
    <w:p w14:paraId="5933C2A8" w14:textId="64F69BAD" w:rsidR="002D1EEF" w:rsidRPr="00010DF7" w:rsidRDefault="002D1EEF" w:rsidP="002D1EEF">
      <w:pPr>
        <w:pStyle w:val="FootnoteText"/>
      </w:pPr>
      <w:r w:rsidRPr="00010DF7">
        <w:rPr>
          <w:rStyle w:val="FootnoteReference"/>
        </w:rPr>
        <w:footnoteRef/>
      </w:r>
      <w:r w:rsidRPr="00010DF7">
        <w:t xml:space="preserve"> National Action Plan on the Implementation of the UN Security Council Resolution 1325 on Women, Peace and Security in Latvia for the period of 2020-2025, </w:t>
      </w:r>
      <w:r w:rsidRPr="00010DF7">
        <w:rPr>
          <w:rFonts w:cs="Times New Roman"/>
          <w:smallCaps/>
          <w:lang w:val="en-GB"/>
        </w:rPr>
        <w:t xml:space="preserve">LSE - Women, Peace Security, </w:t>
      </w:r>
      <w:r w:rsidRPr="00010DF7">
        <w:rPr>
          <w:rFonts w:cs="Times New Roman"/>
          <w:lang w:val="en-GB"/>
        </w:rPr>
        <w:t>at p.10-11,</w:t>
      </w:r>
      <w:r w:rsidRPr="00010DF7">
        <w:rPr>
          <w:rFonts w:cs="Times New Roman"/>
          <w:smallCaps/>
          <w:lang w:val="en-GB"/>
        </w:rPr>
        <w:t xml:space="preserve"> </w:t>
      </w:r>
      <w:hyperlink r:id="rId65" w:history="1">
        <w:r w:rsidRPr="00010DF7">
          <w:rPr>
            <w:rStyle w:val="Hyperlink"/>
            <w:rFonts w:cs="Times New Roman"/>
            <w:lang w:val="en-GB"/>
          </w:rPr>
          <w:t>https://www.wpsnaps.org/app/uploads/2021/01/Latvia-NAP-2020-2025.pdf</w:t>
        </w:r>
      </w:hyperlink>
      <w:r w:rsidRPr="00010DF7">
        <w:rPr>
          <w:rFonts w:cs="Times New Roman"/>
          <w:lang w:val="en-GB"/>
        </w:rPr>
        <w:t xml:space="preserve"> (last visited Apr. 17, 2023).</w:t>
      </w:r>
      <w:r w:rsidRPr="00010DF7">
        <w:t xml:space="preserve"> </w:t>
      </w:r>
    </w:p>
  </w:footnote>
  <w:footnote w:id="193">
    <w:p w14:paraId="4B297DFD" w14:textId="77777777" w:rsidR="006E6FBA" w:rsidRPr="00010DF7" w:rsidRDefault="006E6FBA" w:rsidP="006E6FBA">
      <w:pPr>
        <w:pStyle w:val="FootnoteText"/>
      </w:pPr>
      <w:r w:rsidRPr="00010DF7">
        <w:rPr>
          <w:rStyle w:val="FootnoteReference"/>
        </w:rPr>
        <w:footnoteRef/>
      </w:r>
      <w:r w:rsidRPr="00010DF7">
        <w:t xml:space="preserve"> CEDAW, </w:t>
      </w:r>
      <w:r w:rsidRPr="00010DF7">
        <w:rPr>
          <w:i/>
          <w:iCs/>
        </w:rPr>
        <w:t>Concluding observations on the fifth periodic report of Liechtenstein*</w:t>
      </w:r>
      <w:r w:rsidRPr="00010DF7">
        <w:t xml:space="preserve">, CEDAW/C/LIE/CO/5/Rev.1 (2018), paras. 19-20,29-30. </w:t>
      </w:r>
    </w:p>
  </w:footnote>
  <w:footnote w:id="194">
    <w:p w14:paraId="49621193" w14:textId="54303AFC" w:rsidR="00E64B8C" w:rsidRPr="00010DF7" w:rsidRDefault="00E64B8C">
      <w:pPr>
        <w:pStyle w:val="FootnoteText"/>
      </w:pPr>
      <w:r w:rsidRPr="00010DF7">
        <w:rPr>
          <w:rStyle w:val="FootnoteReference"/>
        </w:rPr>
        <w:footnoteRef/>
      </w:r>
      <w:r w:rsidRPr="00010DF7">
        <w:t xml:space="preserve"> </w:t>
      </w:r>
      <w:r w:rsidRPr="00010DF7">
        <w:fldChar w:fldCharType="begin"/>
      </w:r>
      <w:r w:rsidR="00BF63A9" w:rsidRPr="00010DF7">
        <w:instrText xml:space="preserve"> ADDIN ZOTERO_ITEM CSL_CITATION {"citationID":"oKpITxzt","properties":{"formattedCitation":"{\\scaps Tomas Davulis}, {\\i{}Lithuania - Country Report Gender Equality 2022}, (2022), equalitylaw.eu/downloads/5695-lithuania-country-report-gender-equality-2022-1-07-mb.","plainCitation":"Tomas Davulis, Lithuania - Country Report Gender Equality 2022, (2022), equalitylaw.eu/downloads/5695-lithuania-country-report-gender-equality-2022-1-07-mb.","dontUpdate":true,"noteIndex":174},"citationItems":[{"id":648,"uris":["http://zotero.org/users/10345638/items/YJW38WLS"],"itemData":{"id":648,"type":"report","collection-title":"European Equality Law Network","event-place":"Luxembourg: Publications Office of the European Union","publisher":"EU Commission. Directorate-General for Justice and Consumers.","publisher-place":"Luxembourg: Publications Office of the European Union","title":"Lithuania - Country Report Gender Equality 2022","URL":"equalitylaw.eu/downloads/5695-lithuania-country-report-gender-equality-2022-1-07-mb","author":[{"family":"Davulis","given":"Tomas"}],"issued":{"date-parts":[["2022"]]}}}],"schema":"https://github.com/citation-style-language/schema/raw/master/csl-citation.json"} </w:instrText>
      </w:r>
      <w:r w:rsidRPr="00010DF7">
        <w:fldChar w:fldCharType="separate"/>
      </w:r>
      <w:r w:rsidR="00AD6653" w:rsidRPr="00010DF7">
        <w:rPr>
          <w:rFonts w:cs="Times New Roman"/>
          <w:smallCaps/>
          <w:lang w:val="en-GB"/>
        </w:rPr>
        <w:t>Tomas Davulis</w:t>
      </w:r>
      <w:r w:rsidR="00AD6653" w:rsidRPr="00010DF7">
        <w:rPr>
          <w:rFonts w:cs="Times New Roman"/>
          <w:lang w:val="en-GB"/>
        </w:rPr>
        <w:t xml:space="preserve">, </w:t>
      </w:r>
      <w:r w:rsidR="00AD6653" w:rsidRPr="00010DF7">
        <w:rPr>
          <w:rFonts w:cs="Times New Roman"/>
          <w:i/>
          <w:iCs/>
          <w:lang w:val="en-GB"/>
        </w:rPr>
        <w:t>Lithuania - Country Report Gender Equality 2022</w:t>
      </w:r>
      <w:r w:rsidR="00AD6653" w:rsidRPr="00010DF7">
        <w:rPr>
          <w:rFonts w:cs="Times New Roman"/>
          <w:lang w:val="en-GB"/>
        </w:rPr>
        <w:t xml:space="preserve">, </w:t>
      </w:r>
      <w:r w:rsidR="00BE2027" w:rsidRPr="00010DF7">
        <w:rPr>
          <w:rFonts w:cs="Times New Roman"/>
          <w:lang w:val="en-GB"/>
        </w:rPr>
        <w:t xml:space="preserve">46 </w:t>
      </w:r>
      <w:r w:rsidR="00AD6653" w:rsidRPr="00010DF7">
        <w:rPr>
          <w:rFonts w:cs="Times New Roman"/>
          <w:lang w:val="en-GB"/>
        </w:rPr>
        <w:t>(2022), equalitylaw.eu/downloads/5695-lithuania-country-report-gender-equality-2022-1-07-mb.</w:t>
      </w:r>
      <w:r w:rsidRPr="00010DF7">
        <w:fldChar w:fldCharType="end"/>
      </w:r>
    </w:p>
  </w:footnote>
  <w:footnote w:id="195">
    <w:p w14:paraId="3D1F30D2" w14:textId="4154C373" w:rsidR="0030422C" w:rsidRPr="00010DF7" w:rsidRDefault="0030422C" w:rsidP="0030422C">
      <w:pPr>
        <w:pStyle w:val="FootnoteText"/>
      </w:pPr>
      <w:r w:rsidRPr="00010DF7">
        <w:rPr>
          <w:rStyle w:val="FootnoteReference"/>
        </w:rPr>
        <w:footnoteRef/>
      </w:r>
      <w:r w:rsidRPr="00010DF7">
        <w:t xml:space="preserve"> </w:t>
      </w:r>
      <w:r w:rsidRPr="00010DF7">
        <w:fldChar w:fldCharType="begin"/>
      </w:r>
      <w:r w:rsidR="00BF63A9" w:rsidRPr="00010DF7">
        <w:instrText xml:space="preserve"> ADDIN ZOTERO_ITEM CSL_CITATION {"citationID":"RIbgziEm","properties":{"formattedCitation":"{\\scaps Tomas Davulis}, {\\i{}Lithuania - Country Report Gender Equality 2022}, (2022), equalitylaw.eu/downloads/5695-lithuania-country-report-gender-equality-2022-1-07-mb.","plainCitation":"Tomas Davulis, Lithuania - Country Report Gender Equality 2022, (2022), equalitylaw.eu/downloads/5695-lithuania-country-report-gender-equality-2022-1-07-mb.","dontUpdate":true,"noteIndex":175},"citationItems":[{"id":648,"uris":["http://zotero.org/users/10345638/items/YJW38WLS"],"itemData":{"id":648,"type":"report","collection-title":"European Equality Law Network","event-place":"Luxembourg: Publications Office of the European Union","publisher":"EU Commission. Directorate-General for Justice and Consumers.","publisher-place":"Luxembourg: Publications Office of the European Union","title":"Lithuania - Country Report Gender Equality 2022","URL":"equalitylaw.eu/downloads/5695-lithuania-country-report-gender-equality-2022-1-07-mb","author":[{"family":"Davulis","given":"Tomas"}],"issued":{"date-parts":[["2022"]]}}}],"schema":"https://github.com/citation-style-language/schema/raw/master/csl-citation.json"} </w:instrText>
      </w:r>
      <w:r w:rsidRPr="00010DF7">
        <w:fldChar w:fldCharType="separate"/>
      </w:r>
      <w:r w:rsidRPr="00010DF7">
        <w:rPr>
          <w:rFonts w:cs="Times New Roman"/>
          <w:smallCaps/>
          <w:lang w:val="en-GB"/>
        </w:rPr>
        <w:t>Tomas Davulis</w:t>
      </w:r>
      <w:r w:rsidRPr="00010DF7">
        <w:rPr>
          <w:rFonts w:cs="Times New Roman"/>
          <w:lang w:val="en-GB"/>
        </w:rPr>
        <w:t xml:space="preserve">, </w:t>
      </w:r>
      <w:r w:rsidRPr="00010DF7">
        <w:rPr>
          <w:rFonts w:cs="Times New Roman"/>
          <w:i/>
          <w:iCs/>
          <w:lang w:val="en-GB"/>
        </w:rPr>
        <w:t>Lithuania - Country Report Gender Equality 2022</w:t>
      </w:r>
      <w:r w:rsidRPr="00010DF7">
        <w:rPr>
          <w:rFonts w:cs="Times New Roman"/>
          <w:lang w:val="en-GB"/>
        </w:rPr>
        <w:t>, 46 (2022), equalitylaw.eu/downloads/5695-lithuania-country-report-gender-equality-2022-1-07-mb.</w:t>
      </w:r>
      <w:r w:rsidRPr="00010DF7">
        <w:fldChar w:fldCharType="end"/>
      </w:r>
    </w:p>
  </w:footnote>
  <w:footnote w:id="196">
    <w:p w14:paraId="47EC5533" w14:textId="3E2748C6" w:rsidR="00280960" w:rsidRPr="00010DF7" w:rsidRDefault="00280960" w:rsidP="00280960">
      <w:pPr>
        <w:pStyle w:val="FootnoteText"/>
      </w:pPr>
      <w:r w:rsidRPr="00010DF7">
        <w:rPr>
          <w:rStyle w:val="FootnoteReference"/>
        </w:rPr>
        <w:footnoteRef/>
      </w:r>
      <w:r w:rsidRPr="00010DF7">
        <w:t xml:space="preserve"> </w:t>
      </w:r>
      <w:r w:rsidRPr="00010DF7">
        <w:fldChar w:fldCharType="begin"/>
      </w:r>
      <w:r w:rsidR="00B36D4F" w:rsidRPr="00010DF7">
        <w:instrText xml:space="preserve"> ADDIN ZOTERO_ITEM CSL_CITATION {"citationID":"lNlWGl0k","properties":{"formattedCitation":"Hungary - Women, Peace, Security, https://www.globalwps.org/details/HUN (last visited Mar 13, 2023).","plainCitation":"Hungary - Women, Peace, Security, https://www.globalwps.org/details/HUN (last visited Mar 13, 2023).","dontUpdate":true,"noteIndex":175},"citationItems":[{"id":946,"uris":["http://zotero.org/users/10345638/items/EKXJ9478"],"itemData":{"id":946,"type":"webpage","title":"Hungary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Lithuania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w:t>
      </w:r>
      <w:r w:rsidRPr="00010DF7">
        <w:rPr>
          <w:noProof/>
          <w:highlight w:val="yellow"/>
        </w:rPr>
        <w:t>LTU (last visited Apr. 17, 2023</w:t>
      </w:r>
      <w:r w:rsidRPr="00010DF7">
        <w:rPr>
          <w:noProof/>
        </w:rPr>
        <w:t>).</w:t>
      </w:r>
      <w:r w:rsidRPr="00010DF7">
        <w:fldChar w:fldCharType="end"/>
      </w:r>
    </w:p>
  </w:footnote>
  <w:footnote w:id="197">
    <w:p w14:paraId="461F34CB" w14:textId="77777777" w:rsidR="00565944" w:rsidRPr="00C448CE" w:rsidRDefault="00565944" w:rsidP="00565944">
      <w:pPr>
        <w:pStyle w:val="FootnoteText"/>
      </w:pPr>
      <w:r>
        <w:rPr>
          <w:rStyle w:val="FootnoteReference"/>
        </w:rPr>
        <w:footnoteRef/>
      </w:r>
      <w:r>
        <w:t xml:space="preserve"> </w:t>
      </w:r>
      <w:r w:rsidRPr="00C448CE">
        <w:t>CEDAW</w:t>
      </w:r>
      <w:r>
        <w:t xml:space="preserve">, </w:t>
      </w:r>
      <w:r w:rsidRPr="00C448CE">
        <w:rPr>
          <w:i/>
          <w:iCs/>
        </w:rPr>
        <w:t>Concluding observations on the sixth periodic report of Lithuania</w:t>
      </w:r>
      <w:r w:rsidRPr="00C448CE">
        <w:t>, C/LTU/CO/6 (2019), para. 30.</w:t>
      </w:r>
    </w:p>
  </w:footnote>
  <w:footnote w:id="198">
    <w:p w14:paraId="156D08B7" w14:textId="77777777"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199">
    <w:p w14:paraId="3D1477B5" w14:textId="633989E6" w:rsidR="001D1143" w:rsidRPr="00010DF7" w:rsidRDefault="001D1143">
      <w:pPr>
        <w:pStyle w:val="FootnoteText"/>
      </w:pPr>
      <w:r w:rsidRPr="00010DF7">
        <w:rPr>
          <w:rStyle w:val="FootnoteReference"/>
        </w:rPr>
        <w:footnoteRef/>
      </w:r>
      <w:r w:rsidRPr="00010DF7">
        <w:t xml:space="preserve"> </w:t>
      </w:r>
      <w:r w:rsidR="001863F5" w:rsidRPr="00010DF7">
        <w:rPr>
          <w:i/>
          <w:iCs/>
        </w:rPr>
        <w:t>Latvia to expand conscription requirements to include women, diaspora</w:t>
      </w:r>
      <w:r w:rsidR="005A24AF" w:rsidRPr="00010DF7">
        <w:t>,</w:t>
      </w:r>
      <w:r w:rsidR="001863F5" w:rsidRPr="00010DF7">
        <w:t xml:space="preserve"> </w:t>
      </w:r>
      <w:r w:rsidR="001863F5" w:rsidRPr="00010DF7">
        <w:rPr>
          <w:smallCaps/>
        </w:rPr>
        <w:t>EER News</w:t>
      </w:r>
      <w:r w:rsidR="001863F5" w:rsidRPr="00010DF7">
        <w:t>, July 7, 2022, https://news.err.ee/1608652240/latvia-to-expand-conscription-requirements-to-include-women-diaspora</w:t>
      </w:r>
      <w:r w:rsidR="005A24AF" w:rsidRPr="00010DF7">
        <w:t>.</w:t>
      </w:r>
    </w:p>
  </w:footnote>
  <w:footnote w:id="200">
    <w:p w14:paraId="3804C5C4" w14:textId="5B09BFC1" w:rsidR="008F06AB" w:rsidRPr="00010DF7" w:rsidRDefault="008F06AB" w:rsidP="008F06AB">
      <w:pPr>
        <w:pStyle w:val="FootnoteText"/>
      </w:pPr>
      <w:r w:rsidRPr="00010DF7">
        <w:rPr>
          <w:rStyle w:val="FootnoteReference"/>
        </w:rPr>
        <w:footnoteRef/>
      </w:r>
      <w:r w:rsidRPr="00010DF7">
        <w:t xml:space="preserve"> Caitlin Biddolph and Laura J. Shepherd, </w:t>
      </w:r>
      <w:r w:rsidRPr="00010DF7">
        <w:rPr>
          <w:i/>
          <w:iCs/>
        </w:rPr>
        <w:t>WPS National Action Plans: Content Analysis and Data Visualisation. Lithuania</w:t>
      </w:r>
      <w:r w:rsidRPr="00010DF7">
        <w:t xml:space="preserve">, v3, 2022, </w:t>
      </w:r>
      <w:r w:rsidRPr="00010DF7">
        <w:rPr>
          <w:rFonts w:cs="Times New Roman"/>
          <w:smallCaps/>
          <w:lang w:val="en-GB"/>
        </w:rPr>
        <w:t>LSE - Women, Peace Security</w:t>
      </w:r>
      <w:r w:rsidRPr="00010DF7">
        <w:t xml:space="preserve">. Online, at </w:t>
      </w:r>
      <w:r w:rsidRPr="00010DF7">
        <w:fldChar w:fldCharType="begin"/>
      </w:r>
      <w:r w:rsidR="00B36D4F" w:rsidRPr="00010DF7">
        <w:instrText xml:space="preserve"> ADDIN ZOTERO_ITEM CSL_CITATION {"citationID":"hQKif9Nm","properties":{"formattedCitation":"LSE-WPS National Action Plans: Albania, {\\scaps LSE - Women, Peace Security}, https://www.wpsnaps.org/nap/albanian-national-action-plan/ (last visited Mar 12, 2023).","plainCitation":"LSE-WPS National Action Plans: Albania, LSE - Women, Peace Security, https://www.wpsnaps.org/nap/albanian-national-action-plan/ (last visited Mar 12, 2023).","dontUpdate":true,"noteIndex":178},"citationItems":[{"id":934,"uris":["http://zotero.org/users/10345638/items/FT49W2NB"],"itemData":{"id":934,"type":"webpage","abstract":"Explore the Women, Peace and Security National Action Plans by region, country, year and topic.","container-title":"LSE - Women, Peace Security","language":"en-GB","title":"LSE-WPS National Action Plans: Albania","URL":"https://www.wpsnaps.org/nap/albanian-national-action-plan/","accessed":{"date-parts":[["2023",3,12]]}}}],"schema":"https://github.com/citation-style-language/schema/raw/master/csl-citation.json"} </w:instrText>
      </w:r>
      <w:r w:rsidRPr="00010DF7">
        <w:fldChar w:fldCharType="separate"/>
      </w:r>
      <w:r w:rsidRPr="00010DF7">
        <w:t xml:space="preserve"> https://www.wpsnaps.org/nap/lithuanian-national-action-plan-ii/ </w:t>
      </w:r>
      <w:r w:rsidRPr="00010DF7">
        <w:rPr>
          <w:rFonts w:cs="Times New Roman"/>
          <w:lang w:val="en-GB"/>
        </w:rPr>
        <w:t>(last visited Apr. 17, 2023).</w:t>
      </w:r>
      <w:r w:rsidRPr="00010DF7">
        <w:fldChar w:fldCharType="end"/>
      </w:r>
    </w:p>
  </w:footnote>
  <w:footnote w:id="201">
    <w:p w14:paraId="09109597" w14:textId="586EB115" w:rsidR="0030422C" w:rsidRPr="00010DF7" w:rsidRDefault="00E075D9">
      <w:pPr>
        <w:pStyle w:val="FootnoteText"/>
      </w:pPr>
      <w:r w:rsidRPr="00010DF7">
        <w:rPr>
          <w:rStyle w:val="FootnoteReference"/>
        </w:rPr>
        <w:footnoteRef/>
      </w:r>
      <w:r w:rsidRPr="00010DF7">
        <w:t xml:space="preserve"> </w:t>
      </w:r>
      <w:r w:rsidR="0030422C" w:rsidRPr="00010DF7">
        <w:t>Minister of Foreign Affairs of the Republic of Lithuania</w:t>
      </w:r>
    </w:p>
    <w:p w14:paraId="4BD67C91" w14:textId="22288F5D" w:rsidR="00E075D9" w:rsidRPr="00010DF7" w:rsidRDefault="0030422C">
      <w:pPr>
        <w:pStyle w:val="FootnoteText"/>
      </w:pPr>
      <w:r w:rsidRPr="00010DF7">
        <w:t>https://www.wpsnaps.org/app/uploads/2022/12/Lithuania-NAP-2-2020-2024.pdf</w:t>
      </w:r>
    </w:p>
  </w:footnote>
  <w:footnote w:id="202">
    <w:p w14:paraId="35C69644" w14:textId="77777777" w:rsidR="009F5C39" w:rsidRPr="00010DF7" w:rsidRDefault="009F5C39" w:rsidP="009F5C39">
      <w:pPr>
        <w:pStyle w:val="FootnoteText"/>
      </w:pPr>
      <w:r w:rsidRPr="00010DF7">
        <w:rPr>
          <w:rStyle w:val="FootnoteReference"/>
        </w:rPr>
        <w:footnoteRef/>
      </w:r>
      <w:r w:rsidRPr="00010DF7">
        <w:t xml:space="preserve"> Mr Jean Asselborn, Foreign Policy Address to the Luxembourg Parliament (March 13, 2019), https://maee.gouvernement.lu/content/dam/gouv_maee/ministère/déclarations-de-politique-étrangère/2019/EN-Declaration-de-politique-etrangere-2019.pdf (</w:t>
      </w:r>
      <w:r w:rsidRPr="00010DF7">
        <w:rPr>
          <w:rFonts w:cs="Times New Roman"/>
          <w:lang w:val="en-GB"/>
        </w:rPr>
        <w:t>last accessed on Apr. 19, 2023).</w:t>
      </w:r>
    </w:p>
  </w:footnote>
  <w:footnote w:id="203">
    <w:p w14:paraId="1E7F7F41" w14:textId="77777777" w:rsidR="009F5C39" w:rsidRPr="00010DF7" w:rsidRDefault="009F5C39" w:rsidP="009F5C39">
      <w:pPr>
        <w:pStyle w:val="FootnoteText"/>
      </w:pPr>
      <w:r w:rsidRPr="00010DF7">
        <w:rPr>
          <w:rStyle w:val="FootnoteReference"/>
        </w:rPr>
        <w:footnoteRef/>
      </w:r>
      <w:r w:rsidRPr="00010DF7">
        <w:t xml:space="preserve"> Mr Jean Asselborn, Foreign Policy Address to the Luxembourg Parliament (March 13, 2019), https://maee.gouvernement.lu/content/dam/gouv_maee/ministère/déclarations-de-politique-étrangère/2019/EN-Declaration-de-politique-etrangere-2019.pdf (</w:t>
      </w:r>
      <w:r w:rsidRPr="00010DF7">
        <w:rPr>
          <w:rFonts w:cs="Times New Roman"/>
          <w:lang w:val="en-GB"/>
        </w:rPr>
        <w:t>last accessed on Apr. 19, 2023).</w:t>
      </w:r>
    </w:p>
  </w:footnote>
  <w:footnote w:id="204">
    <w:p w14:paraId="1C419E35" w14:textId="77777777" w:rsidR="009F5C39" w:rsidRPr="00010DF7" w:rsidRDefault="009F5C39" w:rsidP="009F5C39">
      <w:pPr>
        <w:pStyle w:val="FootnoteText"/>
      </w:pPr>
      <w:r w:rsidRPr="00010DF7">
        <w:rPr>
          <w:rStyle w:val="FootnoteReference"/>
        </w:rPr>
        <w:footnoteRef/>
      </w:r>
      <w:r w:rsidRPr="00010DF7">
        <w:t xml:space="preserve"> Mr Jean Asselborn, Foreign Policy Address to the Luxembourg Parliament (March 13, 2019), https://maee.gouvernement.lu/content/dam/gouv_maee/ministère/déclarations-de-politique-étrangère/2019/EN-Declaration-de-politique-etrangere-2019.pdf (</w:t>
      </w:r>
      <w:r w:rsidRPr="00010DF7">
        <w:rPr>
          <w:rFonts w:cs="Times New Roman"/>
          <w:lang w:val="en-GB"/>
        </w:rPr>
        <w:t>last accessed on Apr. 19, 2023).</w:t>
      </w:r>
    </w:p>
  </w:footnote>
  <w:footnote w:id="205">
    <w:p w14:paraId="54A1BE82" w14:textId="640915F4" w:rsidR="001E48DC" w:rsidRPr="00010DF7" w:rsidRDefault="001E48DC" w:rsidP="001E48DC">
      <w:pPr>
        <w:pStyle w:val="FootnoteText"/>
      </w:pPr>
      <w:r w:rsidRPr="00010DF7">
        <w:rPr>
          <w:rStyle w:val="FootnoteReference"/>
        </w:rPr>
        <w:footnoteRef/>
      </w:r>
      <w:r w:rsidRPr="00010DF7">
        <w:t xml:space="preserve"> </w:t>
      </w:r>
      <w:r w:rsidRPr="00010DF7">
        <w:fldChar w:fldCharType="begin"/>
      </w:r>
      <w:r w:rsidR="00BF63A9" w:rsidRPr="00010DF7">
        <w:instrText xml:space="preserve"> ADDIN ZOTERO_ITEM CSL_CITATION {"citationID":"u2GENFOg","properties":{"formattedCitation":"Hungary - Women, Peace, Security, https://www.globalwps.org/details/HUN (last visited Mar 13, 2023).","plainCitation":"Hungary - Women, Peace, Security, https://www.globalwps.org/details/HUN (last visited Mar 13, 2023).","dontUpdate":true,"noteIndex":184},"citationItems":[{"id":946,"uris":["http://zotero.org/users/10345638/items/EKXJ9478"],"itemData":{"id":946,"type":"webpage","title":"Hungary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Luxembourg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https://www.globalwps.org/details/LUX (last visited Apr. 17, 2023).</w:t>
      </w:r>
      <w:r w:rsidRPr="00010DF7">
        <w:fldChar w:fldCharType="end"/>
      </w:r>
    </w:p>
  </w:footnote>
  <w:footnote w:id="206">
    <w:p w14:paraId="05B07A17" w14:textId="1E9629C1" w:rsidR="003B7A39" w:rsidRPr="00010DF7" w:rsidRDefault="003B7A39" w:rsidP="003B7A39">
      <w:pPr>
        <w:pStyle w:val="FootnoteText"/>
      </w:pPr>
      <w:r w:rsidRPr="00010DF7">
        <w:rPr>
          <w:rStyle w:val="FootnoteReference"/>
        </w:rPr>
        <w:footnoteRef/>
      </w:r>
      <w:r w:rsidRPr="00010DF7">
        <w:t xml:space="preserve"> </w:t>
      </w:r>
      <w:r w:rsidRPr="00010DF7">
        <w:fldChar w:fldCharType="begin"/>
      </w:r>
      <w:r w:rsidR="00B36D4F" w:rsidRPr="00010DF7">
        <w:instrText xml:space="preserve"> ADDIN ZOTERO_ITEM CSL_CITATION {"citationID":"F2kDu8am","properties":{"formattedCitation":"Hungary - Women, Peace, Security, https://www.globalwps.org/details/HUN (last visited Mar 13, 2023).","plainCitation":"Hungary - Women, Peace, Security, https://www.globalwps.org/details/HUN (last visited Mar 13, 2023).","dontUpdate":true,"noteIndex":181},"citationItems":[{"id":946,"uris":["http://zotero.org/users/10345638/items/EKXJ9478"],"itemData":{"id":946,"type":"webpage","title":"Hungary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Luxembourg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https://www.globalwps.org/details/LUX (last visited Apr. 17, 2023).</w:t>
      </w:r>
      <w:r w:rsidRPr="00010DF7">
        <w:fldChar w:fldCharType="end"/>
      </w:r>
    </w:p>
  </w:footnote>
  <w:footnote w:id="207">
    <w:p w14:paraId="58CCD990" w14:textId="506AD51F" w:rsidR="00E47D23" w:rsidRPr="00010DF7" w:rsidRDefault="00E47D23" w:rsidP="00E47D23">
      <w:pPr>
        <w:pStyle w:val="FootnoteText"/>
      </w:pPr>
      <w:r w:rsidRPr="00010DF7">
        <w:rPr>
          <w:rStyle w:val="FootnoteReference"/>
        </w:rPr>
        <w:footnoteRef/>
      </w:r>
      <w:r w:rsidRPr="00010DF7">
        <w:t xml:space="preserve"> </w:t>
      </w:r>
      <w:r w:rsidRPr="00010DF7">
        <w:fldChar w:fldCharType="begin"/>
      </w:r>
      <w:r w:rsidR="00B36D4F" w:rsidRPr="00010DF7">
        <w:instrText xml:space="preserve"> ADDIN ZOTERO_ITEM CSL_CITATION {"citationID":"KpMRjZMF","properties":{"formattedCitation":"Hungary - Women, Peace, Security, https://www.globalwps.org/details/HUN (last visited Mar 13, 2023).","plainCitation":"Hungary - Women, Peace, Security, https://www.globalwps.org/details/HUN (last visited Mar 13, 2023).","dontUpdate":true,"noteIndex":182},"citationItems":[{"id":946,"uris":["http://zotero.org/users/10345638/items/EKXJ9478"],"itemData":{"id":946,"type":"webpage","title":"Hungary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Luxembourg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https://www.globalwps.org/details/LUX (last visited Apr. 17, 2023).</w:t>
      </w:r>
      <w:r w:rsidRPr="00010DF7">
        <w:fldChar w:fldCharType="end"/>
      </w:r>
    </w:p>
  </w:footnote>
  <w:footnote w:id="208">
    <w:p w14:paraId="75F71401" w14:textId="77777777" w:rsidR="00DF509D" w:rsidRPr="00DA6A32" w:rsidRDefault="00DF509D" w:rsidP="00DF509D">
      <w:pPr>
        <w:pStyle w:val="FootnoteText"/>
      </w:pPr>
      <w:r>
        <w:rPr>
          <w:rStyle w:val="FootnoteReference"/>
        </w:rPr>
        <w:footnoteRef/>
      </w:r>
      <w:r>
        <w:t xml:space="preserve"> </w:t>
      </w:r>
      <w:r w:rsidRPr="00DA6A32">
        <w:t xml:space="preserve">CEDAW, </w:t>
      </w:r>
      <w:r w:rsidRPr="00DA6A32">
        <w:rPr>
          <w:i/>
          <w:iCs/>
        </w:rPr>
        <w:t>Concluding observations on the combined sixth and seventh periodic reports of Luxembourg</w:t>
      </w:r>
      <w:r w:rsidRPr="00DA6A32">
        <w:t>, C/LUX/CO/6-7</w:t>
      </w:r>
      <w:r>
        <w:t xml:space="preserve"> (2018)</w:t>
      </w:r>
      <w:r w:rsidRPr="00DA6A32">
        <w:t>, para. 37.</w:t>
      </w:r>
    </w:p>
  </w:footnote>
  <w:footnote w:id="209">
    <w:p w14:paraId="374C6EE4" w14:textId="77777777"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210">
    <w:p w14:paraId="15BC06FF" w14:textId="4DF2824A" w:rsidR="00453A05" w:rsidRPr="00010DF7" w:rsidRDefault="00453A05">
      <w:pPr>
        <w:pStyle w:val="FootnoteText"/>
      </w:pPr>
      <w:r w:rsidRPr="00010DF7">
        <w:t xml:space="preserve"> </w:t>
      </w:r>
      <w:r w:rsidRPr="00010DF7">
        <w:rPr>
          <w:rStyle w:val="FootnoteReference"/>
        </w:rPr>
        <w:footnoteRef/>
      </w:r>
      <w:r w:rsidRPr="00010DF7">
        <w:t xml:space="preserve">Caitlin Biddolph and Laura J. Shepherd, </w:t>
      </w:r>
      <w:r w:rsidRPr="00010DF7">
        <w:rPr>
          <w:i/>
          <w:iCs/>
        </w:rPr>
        <w:t>WPS National Action Plans: Content Analysis and Data Visualisation. Luxembourg</w:t>
      </w:r>
      <w:r w:rsidRPr="00010DF7">
        <w:t xml:space="preserve">, v3, 2022, </w:t>
      </w:r>
      <w:r w:rsidRPr="00010DF7">
        <w:rPr>
          <w:rFonts w:cs="Times New Roman"/>
          <w:smallCaps/>
          <w:lang w:val="en-GB"/>
        </w:rPr>
        <w:t>LSE - Women, Peace Security</w:t>
      </w:r>
      <w:r w:rsidRPr="00010DF7">
        <w:t xml:space="preserve">. Online, </w:t>
      </w:r>
      <w:r w:rsidRPr="00010DF7">
        <w:fldChar w:fldCharType="begin"/>
      </w:r>
      <w:r w:rsidR="00B36D4F" w:rsidRPr="00010DF7">
        <w:instrText xml:space="preserve"> ADDIN ZOTERO_ITEM CSL_CITATION {"citationID":"9bHHrm4o","properties":{"formattedCitation":"LSE-WPS National Action Plans: Albania, {\\scaps LSE - Women, Peace Security}, https://www.wpsnaps.org/nap/albanian-national-action-plan/ (last visited Mar 12, 2023).","plainCitation":"LSE-WPS National Action Plans: Albania, LSE - Women, Peace Security, https://www.wpsnaps.org/nap/albanian-national-action-plan/ (last visited Mar 12, 2023).","dontUpdate":true,"noteIndex":184},"citationItems":[{"id":934,"uris":["http://zotero.org/users/10345638/items/FT49W2NB"],"itemData":{"id":934,"type":"webpage","abstract":"Explore the Women, Peace and Security National Action Plans by region, country, year and topic.","container-title":"LSE - Women, Peace Security","language":"en-GB","title":"LSE-WPS National Action Plans: Albania","URL":"https://www.wpsnaps.org/nap/albanian-national-action-plan/","accessed":{"date-parts":[["2023",3,12]]}}}],"schema":"https://github.com/citation-style-language/schema/raw/master/csl-citation.json"} </w:instrText>
      </w:r>
      <w:r w:rsidRPr="00010DF7">
        <w:fldChar w:fldCharType="separate"/>
      </w:r>
      <w:r w:rsidRPr="00010DF7">
        <w:t xml:space="preserve"> https://www.wpsnaps.org/nap/luxembourg-national-action-plan/ </w:t>
      </w:r>
      <w:r w:rsidRPr="00010DF7">
        <w:rPr>
          <w:rFonts w:cs="Times New Roman"/>
          <w:lang w:val="en-GB"/>
        </w:rPr>
        <w:t>(last visited Apr. 17, 2023).</w:t>
      </w:r>
      <w:r w:rsidRPr="00010DF7">
        <w:fldChar w:fldCharType="end"/>
      </w:r>
    </w:p>
  </w:footnote>
  <w:footnote w:id="211">
    <w:p w14:paraId="0522A158" w14:textId="1FD802D9" w:rsidR="007A2895" w:rsidRPr="00010DF7" w:rsidRDefault="007A2895">
      <w:pPr>
        <w:pStyle w:val="FootnoteText"/>
      </w:pPr>
      <w:r w:rsidRPr="00010DF7">
        <w:rPr>
          <w:rStyle w:val="FootnoteReference"/>
        </w:rPr>
        <w:footnoteRef/>
      </w:r>
      <w:r w:rsidRPr="00010DF7">
        <w:t xml:space="preserve"> </w:t>
      </w:r>
      <w:r w:rsidR="00AC70E3" w:rsidRPr="00010DF7">
        <w:t xml:space="preserve">The Government of the Grand Duchy of Luxembourg, Ministry of Foreign and European </w:t>
      </w:r>
      <w:r w:rsidR="00252D5F" w:rsidRPr="00010DF7">
        <w:t>Affairs</w:t>
      </w:r>
      <w:r w:rsidR="00AC70E3" w:rsidRPr="00010DF7">
        <w:t>,</w:t>
      </w:r>
      <w:r w:rsidR="00252D5F" w:rsidRPr="00010DF7">
        <w:t xml:space="preserve"> </w:t>
      </w:r>
      <w:r w:rsidR="00AC70E3" w:rsidRPr="00010DF7">
        <w:rPr>
          <w:i/>
          <w:iCs/>
        </w:rPr>
        <w:t>Women and Peace and Security, National Action Plan 2018-2023 for the implementation of United Nations Security Council Resolution 1325 (2000),</w:t>
      </w:r>
      <w:r w:rsidR="00AC70E3" w:rsidRPr="00010DF7">
        <w:t xml:space="preserve"> </w:t>
      </w:r>
      <w:r w:rsidR="00AC70E3" w:rsidRPr="00010DF7">
        <w:rPr>
          <w:rFonts w:cs="Times New Roman"/>
          <w:smallCaps/>
          <w:lang w:val="en-GB"/>
        </w:rPr>
        <w:t>LSE - Women, Peace Security</w:t>
      </w:r>
      <w:r w:rsidR="00AC70E3" w:rsidRPr="00010DF7">
        <w:t xml:space="preserve">, at 21-23, https://www.wpsnaps.org/app/uploads/2019/09/Luembourg-NAP_English-2018-2023.pdf. </w:t>
      </w:r>
    </w:p>
  </w:footnote>
  <w:footnote w:id="212">
    <w:p w14:paraId="601F62E3" w14:textId="77777777"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213">
    <w:p w14:paraId="308ADD88" w14:textId="2F31BDC5" w:rsidR="00371FBD" w:rsidRPr="00010DF7" w:rsidRDefault="00371FBD">
      <w:pPr>
        <w:pStyle w:val="FootnoteText"/>
      </w:pPr>
      <w:r w:rsidRPr="00010DF7">
        <w:rPr>
          <w:rStyle w:val="FootnoteReference"/>
        </w:rPr>
        <w:footnoteRef/>
      </w:r>
      <w:r w:rsidRPr="00010DF7">
        <w:t xml:space="preserve"> </w:t>
      </w:r>
      <w:r w:rsidR="006A5B49" w:rsidRPr="00010DF7">
        <w:t xml:space="preserve">Republic of North Macedonia, Enhanced Nationally Determined Contribution, </w:t>
      </w:r>
      <w:r w:rsidRPr="00010DF7">
        <w:t xml:space="preserve">UNFCCC, </w:t>
      </w:r>
      <w:r w:rsidR="006A5B49" w:rsidRPr="00010DF7">
        <w:t>https://unfccc.int/sites/default/files/NDC/2022-06/Macedonian%20enhanced%20NDC%20(002).pdf (accessed Apr. 18, 2023)</w:t>
      </w:r>
      <w:r w:rsidRPr="00010DF7">
        <w:t>.</w:t>
      </w:r>
    </w:p>
  </w:footnote>
  <w:footnote w:id="214">
    <w:p w14:paraId="47AC2B60" w14:textId="77777777" w:rsidR="002E1F6E" w:rsidRPr="00010DF7" w:rsidRDefault="002E1F6E" w:rsidP="002E1F6E">
      <w:pPr>
        <w:pStyle w:val="FootnoteText"/>
      </w:pPr>
      <w:r w:rsidRPr="00010DF7">
        <w:rPr>
          <w:rStyle w:val="FootnoteReference"/>
        </w:rPr>
        <w:footnoteRef/>
      </w:r>
      <w:r w:rsidRPr="00010DF7">
        <w:t xml:space="preserve"> CEDAW, </w:t>
      </w:r>
      <w:r w:rsidRPr="00010DF7">
        <w:rPr>
          <w:i/>
          <w:iCs/>
        </w:rPr>
        <w:t>Concluding observations on the sixth periodic report of the Republic of Moldova*,</w:t>
      </w:r>
      <w:r w:rsidRPr="00010DF7">
        <w:t xml:space="preserve"> C/MDA/CO/6 (2020), paras. 19, 27. </w:t>
      </w:r>
    </w:p>
  </w:footnote>
  <w:footnote w:id="215">
    <w:p w14:paraId="5868422F" w14:textId="46F41D58" w:rsidR="00AC5DBC" w:rsidRPr="00010DF7" w:rsidRDefault="00AC5DBC">
      <w:pPr>
        <w:pStyle w:val="FootnoteText"/>
      </w:pPr>
      <w:r w:rsidRPr="00010DF7">
        <w:rPr>
          <w:rStyle w:val="FootnoteReference"/>
        </w:rPr>
        <w:footnoteRef/>
      </w:r>
      <w:r w:rsidRPr="00010DF7">
        <w:t xml:space="preserve"> </w:t>
      </w:r>
      <w:r w:rsidR="00156C70" w:rsidRPr="00010DF7">
        <w:t>Law No. 158 of 4.07.2008 on State Functions and the Status of Public Servants, Art.14(g) (2008, amended 2019) (Moldova).</w:t>
      </w:r>
    </w:p>
  </w:footnote>
  <w:footnote w:id="216">
    <w:p w14:paraId="1272AA11" w14:textId="329BA866" w:rsidR="004116DF" w:rsidRPr="00010DF7" w:rsidRDefault="004116DF" w:rsidP="001D6A32">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{"citationID":"cqFybnlL","properties":{"formattedCitation":"{\\scaps Dr. Hannah Neumann, Barbara Mittelhammer &amp; Sofiia Shevchuk}, {\\i{}The #SHEcurity Index - An Overview}, (2021), https://shecurity.info/wp-content/uploads/2021/10/Report_Shecurity_2021_RGB-Final.pdf.","plainCitation":"Dr. Hannah Neumann, Barbara Mittelhammer &amp; Sofiia Shevchuk, The #SHEcurity Index - An Overview, (2021), https://shecurity.info/wp-content/uploads/2021/10/Report_Shecurity_2021_RGB-Final.pdf.","dontUpdate":true,"noteIndex":180},"citationItems":[{"id":775,"uris":["http://zotero.org/users/10345638/items/ER4DGBGF"],"itemData":{"id":775,"type":"report","publisher":"Shecurity","title":"The #SHEcurity Index - An Overview","URL":"https://shecurity.info/wp-content/uploads/2021/10/Report_Shecurity_2021_RGB-Final.pdf","author":[{"family":"Neumann","given":"Dr. Hannah"},{"family":"Mittelhammer","given":"Barbara"},{"family":"Shevchuk","given":"Sofiia"}],"issued":{"date-parts":[["2021"]]}}}],"schema":"https://github.com/citation-style-language/schema/raw/master/csl-citation.json"} </w:instrText>
      </w:r>
      <w:r w:rsidRPr="00010DF7">
        <w:fldChar w:fldCharType="separate"/>
      </w:r>
      <w:r w:rsidRPr="00010DF7">
        <w:rPr>
          <w:rFonts w:cs="Times New Roman"/>
          <w:smallCaps/>
          <w:lang w:val="en-GB"/>
        </w:rPr>
        <w:t>Dr. Hannah Neumann, Barbara Mittelhammer &amp; Sofiia Shevchuk</w:t>
      </w:r>
      <w:r w:rsidRPr="00010DF7">
        <w:rPr>
          <w:rFonts w:cs="Times New Roman"/>
          <w:lang w:val="en-GB"/>
        </w:rPr>
        <w:t xml:space="preserve">, </w:t>
      </w:r>
      <w:r w:rsidRPr="00010DF7">
        <w:rPr>
          <w:rFonts w:cs="Times New Roman"/>
          <w:i/>
          <w:iCs/>
          <w:lang w:val="en-GB"/>
        </w:rPr>
        <w:t>The #SHEcurity Index - An Overview</w:t>
      </w:r>
      <w:r w:rsidRPr="00010DF7">
        <w:rPr>
          <w:rFonts w:cs="Times New Roman"/>
          <w:lang w:val="en-GB"/>
        </w:rPr>
        <w:t>, 29 (2021), https://shecurity.info/wp-content/uploads/2021/10/Report_Shecurity_2021_RGB-Final.pdf.</w:t>
      </w:r>
      <w:r w:rsidRPr="00010DF7">
        <w:fldChar w:fldCharType="end"/>
      </w:r>
    </w:p>
  </w:footnote>
  <w:footnote w:id="217">
    <w:p w14:paraId="7D401040" w14:textId="77777777" w:rsidR="002E1F6E" w:rsidRPr="00010DF7" w:rsidRDefault="002E1F6E" w:rsidP="002E1F6E">
      <w:pPr>
        <w:pStyle w:val="FootnoteText"/>
      </w:pPr>
      <w:r w:rsidRPr="00010DF7">
        <w:rPr>
          <w:rStyle w:val="FootnoteReference"/>
        </w:rPr>
        <w:footnoteRef/>
      </w:r>
      <w:r w:rsidRPr="00010DF7">
        <w:t xml:space="preserve"> CEDAW, </w:t>
      </w:r>
      <w:r w:rsidRPr="00010DF7">
        <w:rPr>
          <w:i/>
          <w:iCs/>
        </w:rPr>
        <w:t>Concluding observations on the sixth periodic report of the Republic of Moldova*,</w:t>
      </w:r>
      <w:r w:rsidRPr="00010DF7">
        <w:t xml:space="preserve"> C/MDA/CO/6 (2020), paras. 19, 27. </w:t>
      </w:r>
    </w:p>
  </w:footnote>
  <w:footnote w:id="218">
    <w:p w14:paraId="336CEA5C" w14:textId="77777777"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219">
    <w:p w14:paraId="662EB8E3" w14:textId="736E1027" w:rsidR="00862070" w:rsidRPr="00010DF7" w:rsidRDefault="00862070">
      <w:pPr>
        <w:pStyle w:val="FootnoteText"/>
      </w:pPr>
      <w:r w:rsidRPr="00010DF7">
        <w:rPr>
          <w:rStyle w:val="FootnoteReference"/>
        </w:rPr>
        <w:footnoteRef/>
      </w:r>
      <w:r w:rsidRPr="00010DF7">
        <w:t xml:space="preserve"> </w:t>
      </w:r>
      <w:r w:rsidR="00BA0810" w:rsidRPr="00010DF7">
        <w:t xml:space="preserve">Guvernul Republicii Moldova, </w:t>
      </w:r>
      <w:r w:rsidR="00BA0810" w:rsidRPr="00010DF7">
        <w:rPr>
          <w:i/>
          <w:iCs/>
        </w:rPr>
        <w:t>DECISION On the National Implementation Program of the United Nations Security Council Resolution 1325 on Women, Peace and Security for 2018-2021 and the Action Plan regarding the Resolution 1325 implementation</w:t>
      </w:r>
      <w:r w:rsidR="00BA0810" w:rsidRPr="00010DF7">
        <w:t>,</w:t>
      </w:r>
      <w:r w:rsidR="00BA0810" w:rsidRPr="00010DF7">
        <w:rPr>
          <w:rFonts w:cs="Times New Roman"/>
          <w:smallCaps/>
          <w:lang w:val="en-GB"/>
        </w:rPr>
        <w:t xml:space="preserve"> LSE - Women, Peace Security</w:t>
      </w:r>
      <w:r w:rsidR="00BA0810" w:rsidRPr="00010DF7">
        <w:t xml:space="preserve">, </w:t>
      </w:r>
      <w:hyperlink r:id="rId66" w:history="1">
        <w:r w:rsidR="00BA0810" w:rsidRPr="00010DF7">
          <w:rPr>
            <w:rStyle w:val="Hyperlink"/>
          </w:rPr>
          <w:t>https://www.wpsnaps.org/app/uploads/2019/09/Moldova-NAP-2018-2021.pdf</w:t>
        </w:r>
      </w:hyperlink>
      <w:r w:rsidR="00BA0810" w:rsidRPr="00010DF7">
        <w:t xml:space="preserve">. </w:t>
      </w:r>
    </w:p>
  </w:footnote>
  <w:footnote w:id="220">
    <w:p w14:paraId="472D6DA9" w14:textId="77777777"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221">
    <w:p w14:paraId="305D9F50" w14:textId="77777777" w:rsidR="00986C32" w:rsidRPr="00010DF7" w:rsidRDefault="00986C32" w:rsidP="00986C32">
      <w:pPr>
        <w:pStyle w:val="FootnoteText"/>
      </w:pPr>
      <w:r w:rsidRPr="00010DF7">
        <w:rPr>
          <w:rStyle w:val="FootnoteReference"/>
        </w:rPr>
        <w:footnoteRef/>
      </w:r>
      <w:r w:rsidRPr="00010DF7">
        <w:t xml:space="preserve"> </w:t>
      </w:r>
      <w:r w:rsidRPr="00010DF7">
        <w:rPr>
          <w:i/>
          <w:iCs/>
        </w:rPr>
        <w:t>Nationally Determined Contribution of the Republic of Belarus to the reduction of greenhouse gas emissions until 2030</w:t>
      </w:r>
      <w:r w:rsidRPr="00010DF7">
        <w:t xml:space="preserve">, UNFCCC, </w:t>
      </w:r>
      <w:hyperlink r:id="rId67" w:history="1">
        <w:r w:rsidRPr="00010DF7">
          <w:rPr>
            <w:rStyle w:val="Hyperlink"/>
          </w:rPr>
          <w:t>https://unfccc.int/sites/default/files/NDC/2022-06/Belarus_NDC_English.pdf</w:t>
        </w:r>
      </w:hyperlink>
      <w:r w:rsidRPr="00010DF7">
        <w:t>.</w:t>
      </w:r>
    </w:p>
  </w:footnote>
  <w:footnote w:id="222">
    <w:p w14:paraId="3904ABBF" w14:textId="6AE1BB85" w:rsidR="00CA533A" w:rsidRPr="00010DF7" w:rsidRDefault="00B62DCC" w:rsidP="00B2384B">
      <w:pPr>
        <w:pStyle w:val="FootnoteText"/>
      </w:pPr>
      <w:r w:rsidRPr="00010DF7">
        <w:rPr>
          <w:rStyle w:val="FootnoteReference"/>
        </w:rPr>
        <w:footnoteRef/>
      </w:r>
      <w:r w:rsidR="00B2384B" w:rsidRPr="00010DF7">
        <w:t xml:space="preserve"> </w:t>
      </w:r>
      <w:r w:rsidR="00CA533A" w:rsidRPr="00010DF7">
        <w:t xml:space="preserve">Ministry of Defense, </w:t>
      </w:r>
      <w:r w:rsidR="00B2384B" w:rsidRPr="00010DF7">
        <w:rPr>
          <w:i/>
          <w:iCs/>
        </w:rPr>
        <w:t>Action Plan for Implementation of United Nations Security Council Resolution 1325 Women, Peace and Security in Montenegro</w:t>
      </w:r>
      <w:r w:rsidR="00CA533A" w:rsidRPr="00010DF7">
        <w:rPr>
          <w:i/>
          <w:iCs/>
        </w:rPr>
        <w:t xml:space="preserve"> (2017-2018)</w:t>
      </w:r>
      <w:r w:rsidR="00B2384B" w:rsidRPr="00010DF7">
        <w:t xml:space="preserve"> 8, </w:t>
      </w:r>
      <w:r w:rsidR="00CA533A" w:rsidRPr="00010DF7">
        <w:t>https://www.wpsnaps.org/app/uploads/2019/09/Montenegro-NAP-2017-2018.pdf</w:t>
      </w:r>
      <w:r w:rsidR="00B2384B" w:rsidRPr="00010DF7">
        <w:t>.</w:t>
      </w:r>
    </w:p>
  </w:footnote>
  <w:footnote w:id="223">
    <w:p w14:paraId="02045323" w14:textId="77777777" w:rsidR="005F1533" w:rsidRPr="00010DF7" w:rsidRDefault="005F1533" w:rsidP="005F1533">
      <w:pPr>
        <w:pStyle w:val="FootnoteText"/>
      </w:pPr>
      <w:r w:rsidRPr="00010DF7">
        <w:rPr>
          <w:rStyle w:val="FootnoteReference"/>
        </w:rPr>
        <w:footnoteRef/>
      </w:r>
      <w:r w:rsidRPr="00010DF7">
        <w:t xml:space="preserve"> Ministry of Defense, </w:t>
      </w:r>
      <w:r w:rsidRPr="00010DF7">
        <w:rPr>
          <w:i/>
          <w:iCs/>
        </w:rPr>
        <w:t>Action Plan for Implementation of United Nations Security Council Resolution 1325 Women, Peace and Security in Montenegro (2017-2018)</w:t>
      </w:r>
      <w:r w:rsidRPr="00010DF7">
        <w:t xml:space="preserve"> 7-8, https://www.wpsnaps.org/app/uploads/2019/09/Montenegro-NAP-2017-2018.pdf.</w:t>
      </w:r>
    </w:p>
  </w:footnote>
  <w:footnote w:id="224">
    <w:p w14:paraId="248E033B" w14:textId="70E68139" w:rsidR="00E6294A" w:rsidRPr="00010DF7" w:rsidRDefault="00E6294A" w:rsidP="00E6294A">
      <w:pPr>
        <w:pStyle w:val="FootnoteText"/>
      </w:pPr>
      <w:r w:rsidRPr="00010DF7">
        <w:rPr>
          <w:rStyle w:val="FootnoteReference"/>
        </w:rPr>
        <w:footnoteRef/>
      </w:r>
      <w:r w:rsidRPr="00010DF7">
        <w:t xml:space="preserve"> </w:t>
      </w:r>
      <w:r w:rsidRPr="00010DF7">
        <w:fldChar w:fldCharType="begin"/>
      </w:r>
      <w:r w:rsidR="00BF63A9" w:rsidRPr="00010DF7">
        <w:instrText xml:space="preserve"> ADDIN ZOTERO_ITEM CSL_CITATION {"citationID":"LjH9WRjz","properties":{"formattedCitation":"Hungary - Women, Peace, Security, https://www.globalwps.org/details/HUN (last visited Mar 13, 2023).","plainCitation":"Hungary - Women, Peace, Security, https://www.globalwps.org/details/HUN (last visited Mar 13, 2023).","dontUpdate":true,"noteIndex":200},"citationItems":[{"id":946,"uris":["http://zotero.org/users/10345638/items/EKXJ9478"],"itemData":{"id":946,"type":"webpage","title":"Hungary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Montenegro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https://www.globalwps.org/details/MNE (last visited Apr. 18, 2023).</w:t>
      </w:r>
      <w:r w:rsidRPr="00010DF7">
        <w:fldChar w:fldCharType="end"/>
      </w:r>
    </w:p>
  </w:footnote>
  <w:footnote w:id="225">
    <w:p w14:paraId="771EB7A3" w14:textId="1E6EA2BC" w:rsidR="00E6294A" w:rsidRPr="00010DF7" w:rsidRDefault="00E6294A" w:rsidP="00E6294A">
      <w:pPr>
        <w:pStyle w:val="FootnoteText"/>
      </w:pPr>
      <w:r w:rsidRPr="00010DF7">
        <w:rPr>
          <w:rStyle w:val="FootnoteReference"/>
        </w:rPr>
        <w:footnoteRef/>
      </w:r>
      <w:r w:rsidRPr="00010DF7">
        <w:t xml:space="preserve"> </w:t>
      </w:r>
      <w:r w:rsidRPr="00010DF7">
        <w:fldChar w:fldCharType="begin"/>
      </w:r>
      <w:r w:rsidR="00BF63A9" w:rsidRPr="00010DF7">
        <w:instrText xml:space="preserve"> ADDIN ZOTERO_ITEM CSL_CITATION {"citationID":"CLXvJF1u","properties":{"formattedCitation":"Hungary - Women, Peace, Security, https://www.globalwps.org/details/HUN (last visited Mar 13, 2023).","plainCitation":"Hungary - Women, Peace, Security, https://www.globalwps.org/details/HUN (last visited Mar 13, 2023).","dontUpdate":true,"noteIndex":201},"citationItems":[{"id":946,"uris":["http://zotero.org/users/10345638/items/EKXJ9478"],"itemData":{"id":946,"type":"webpage","title":"Hungary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Montenegro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https://www.globalwps.org/details/MNE (last visited Apr. 18, 2023).</w:t>
      </w:r>
      <w:r w:rsidRPr="00010DF7">
        <w:fldChar w:fldCharType="end"/>
      </w:r>
    </w:p>
  </w:footnote>
  <w:footnote w:id="226">
    <w:p w14:paraId="29397EBA" w14:textId="77777777"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227">
    <w:p w14:paraId="58B57CC5" w14:textId="6B539CF7" w:rsidR="00963E6A" w:rsidRPr="00010DF7" w:rsidRDefault="00963E6A" w:rsidP="00963E6A">
      <w:pPr>
        <w:pStyle w:val="FootnoteText"/>
      </w:pPr>
      <w:r w:rsidRPr="00010DF7">
        <w:t xml:space="preserve"> </w:t>
      </w:r>
      <w:r w:rsidRPr="00010DF7">
        <w:rPr>
          <w:rStyle w:val="FootnoteReference"/>
        </w:rPr>
        <w:footnoteRef/>
      </w:r>
      <w:r w:rsidRPr="00010DF7">
        <w:t xml:space="preserve">Caitlin Biddolph and Laura J. Shepherd, </w:t>
      </w:r>
      <w:r w:rsidRPr="00010DF7">
        <w:rPr>
          <w:i/>
          <w:iCs/>
        </w:rPr>
        <w:t>WPS National Action Plans: Content Analysis and Data Visualisation. Montenegro</w:t>
      </w:r>
      <w:r w:rsidRPr="00010DF7">
        <w:t xml:space="preserve">, v3, 2022, </w:t>
      </w:r>
      <w:r w:rsidRPr="00010DF7">
        <w:rPr>
          <w:rFonts w:cs="Times New Roman"/>
          <w:smallCaps/>
          <w:lang w:val="en-GB"/>
        </w:rPr>
        <w:t>LSE - Women, Peace Security</w:t>
      </w:r>
      <w:r w:rsidR="003D6B7B" w:rsidRPr="00010DF7">
        <w:t>,</w:t>
      </w:r>
      <w:r w:rsidRPr="00010DF7">
        <w:fldChar w:fldCharType="begin"/>
      </w:r>
      <w:r w:rsidR="00B36D4F" w:rsidRPr="00010DF7">
        <w:instrText xml:space="preserve"> ADDIN ZOTERO_ITEM CSL_CITATION {"citationID":"RNloaf8m","properties":{"formattedCitation":"LSE-WPS National Action Plans: Albania, {\\scaps LSE - Women, Peace Security}, https://www.wpsnaps.org/nap/albanian-national-action-plan/ (last visited Mar 12, 2023).","plainCitation":"LSE-WPS National Action Plans: Albania, LSE - Women, Peace Security, https://www.wpsnaps.org/nap/albanian-national-action-plan/ (last visited Mar 12, 2023).","dontUpdate":true,"noteIndex":197},"citationItems":[{"id":934,"uris":["http://zotero.org/users/10345638/items/FT49W2NB"],"itemData":{"id":934,"type":"webpage","abstract":"Explore the Women, Peace and Security National Action Plans by region, country, year and topic.","container-title":"LSE - Women, Peace Security","language":"en-GB","title":"LSE-WPS National Action Plans: Albania","URL":"https://www.wpsnaps.org/nap/albanian-national-action-plan/","accessed":{"date-parts":[["2023",3,12]]}}}],"schema":"https://github.com/citation-style-language/schema/raw/master/csl-citation.json"} </w:instrText>
      </w:r>
      <w:r w:rsidRPr="00010DF7">
        <w:fldChar w:fldCharType="separate"/>
      </w:r>
      <w:r w:rsidRPr="00010DF7">
        <w:t xml:space="preserve"> </w:t>
      </w:r>
      <w:r w:rsidR="003D6B7B" w:rsidRPr="00010DF7">
        <w:t xml:space="preserve">https://www.wpsnaps.org/app/uploads/2019/09/Montenegro-NAP-2017-2018.pdf </w:t>
      </w:r>
      <w:r w:rsidRPr="00010DF7">
        <w:rPr>
          <w:rFonts w:cs="Times New Roman"/>
          <w:lang w:val="en-GB"/>
        </w:rPr>
        <w:t>(last visited Apr. 17, 2023).</w:t>
      </w:r>
      <w:r w:rsidRPr="00010DF7">
        <w:fldChar w:fldCharType="end"/>
      </w:r>
    </w:p>
  </w:footnote>
  <w:footnote w:id="228">
    <w:p w14:paraId="048CD9D7" w14:textId="109A4DE8" w:rsidR="00B36D4F" w:rsidRPr="00010DF7" w:rsidRDefault="00B36D4F">
      <w:pPr>
        <w:pStyle w:val="FootnoteText"/>
      </w:pPr>
      <w:r w:rsidRPr="00010DF7">
        <w:rPr>
          <w:rStyle w:val="FootnoteReference"/>
        </w:rPr>
        <w:footnoteRef/>
      </w:r>
      <w:r w:rsidRPr="00010DF7">
        <w:t xml:space="preserve"> </w:t>
      </w:r>
      <w:r w:rsidRPr="00010DF7">
        <w:fldChar w:fldCharType="begin"/>
      </w:r>
      <w:r w:rsidRPr="00010DF7">
        <w:instrText xml:space="preserve"> ADDIN ZOTERO_ITEM CSL_CITATION {"citationID":"Gyr6cz3d","properties":{"formattedCitation":"{\\scaps Marlies Vegter}, {\\i{}Netherlands - Country Report Gender Equality 2022}, (2022), https://www.equalitylaw.eu/downloads/5699-netherlands-country-report-gender-equality-2022-1-52-mb.","plainCitation":"Marlies Vegter, Netherlands - Country Report Gender Equality 2022, (2022), https://www.equalitylaw.eu/downloads/5699-netherlands-country-report-gender-equality-2022-1-52-mb.","noteIndex":199},"citationItems":[{"id":656,"uris":["http://zotero.org/users/10345638/items/8S3SQDY2"],"itemData":{"id":656,"type":"report","collection-title":"European Equality Law Network","event-place":"Luxembourg: Publications Office of the European Union","publisher":"EU Commission. Directorate-General for Justice and Consumers.","publisher-place":"Luxembourg: Publications Office of the European Union","title":"Netherlands - Country Report Gender Equality 2022","URL":"https://www.equalitylaw.eu/downloads/5699-netherlands-country-report-gender-equality-2022-1-52-mb","author":[{"family":"Vegter","given":"Marlies"}],"issued":{"date-parts":[["2022"]]}}}],"schema":"https://github.com/citation-style-language/schema/raw/master/csl-citation.json"} </w:instrText>
      </w:r>
      <w:r w:rsidRPr="00010DF7">
        <w:fldChar w:fldCharType="separate"/>
      </w:r>
      <w:r w:rsidRPr="00010DF7">
        <w:rPr>
          <w:rFonts w:cs="Times New Roman"/>
          <w:smallCaps/>
          <w:lang w:val="en-GB"/>
        </w:rPr>
        <w:t>Marlies Vegter</w:t>
      </w:r>
      <w:r w:rsidRPr="00010DF7">
        <w:rPr>
          <w:rFonts w:cs="Times New Roman"/>
          <w:lang w:val="en-GB"/>
        </w:rPr>
        <w:t xml:space="preserve">, </w:t>
      </w:r>
      <w:r w:rsidRPr="00010DF7">
        <w:rPr>
          <w:rFonts w:cs="Times New Roman"/>
          <w:i/>
          <w:iCs/>
          <w:lang w:val="en-GB"/>
        </w:rPr>
        <w:t>Netherlands - Country Report Gender Equality 2022</w:t>
      </w:r>
      <w:r w:rsidRPr="00010DF7">
        <w:rPr>
          <w:rFonts w:cs="Times New Roman"/>
          <w:lang w:val="en-GB"/>
        </w:rPr>
        <w:t>, (2022), https://www.equalitylaw.eu/downloads/5699-netherlands-country-report-gender-equality-2022-1-52-mb.</w:t>
      </w:r>
      <w:r w:rsidRPr="00010DF7">
        <w:fldChar w:fldCharType="end"/>
      </w:r>
    </w:p>
  </w:footnote>
  <w:footnote w:id="229">
    <w:p w14:paraId="53DDE2F0" w14:textId="07F28244" w:rsidR="000F4C9E" w:rsidRPr="00010DF7" w:rsidRDefault="000F4C9E">
      <w:pPr>
        <w:pStyle w:val="FootnoteText"/>
      </w:pPr>
      <w:r w:rsidRPr="00010DF7">
        <w:rPr>
          <w:rStyle w:val="FootnoteReference"/>
        </w:rPr>
        <w:footnoteRef/>
      </w:r>
      <w:r w:rsidRPr="00010DF7">
        <w:t xml:space="preserve"> Letter from the Minister </w:t>
      </w:r>
      <w:r w:rsidR="0016283D" w:rsidRPr="00010DF7">
        <w:t>o</w:t>
      </w:r>
      <w:r w:rsidRPr="00010DF7">
        <w:t xml:space="preserve">f Education, Culture and Science to the President of the Senate of the States General (February 25, 2022) in </w:t>
      </w:r>
      <w:r w:rsidRPr="00010DF7">
        <w:rPr>
          <w:smallCaps/>
        </w:rPr>
        <w:t>Parliamentary Document 35628 no.</w:t>
      </w:r>
      <w:r w:rsidRPr="00010DF7">
        <w:t xml:space="preserve"> 6, </w:t>
      </w:r>
      <w:r w:rsidR="0016283D" w:rsidRPr="00010DF7">
        <w:t>https://zoek.officielebekendmakingen.nl/kst-35628-G.html (la</w:t>
      </w:r>
      <w:r w:rsidR="0016283D" w:rsidRPr="00010DF7">
        <w:rPr>
          <w:rFonts w:cs="Times New Roman"/>
          <w:lang w:val="en-GB"/>
        </w:rPr>
        <w:t>st visited Apr. 18, 2023)</w:t>
      </w:r>
      <w:r w:rsidRPr="00010DF7">
        <w:t>.</w:t>
      </w:r>
    </w:p>
  </w:footnote>
  <w:footnote w:id="230">
    <w:p w14:paraId="2D880632" w14:textId="77777777" w:rsidR="00007233" w:rsidRPr="00010DF7" w:rsidRDefault="00007233" w:rsidP="00007233">
      <w:pPr>
        <w:spacing w:before="0" w:after="0"/>
        <w:rPr>
          <w:szCs w:val="20"/>
        </w:rPr>
      </w:pPr>
      <w:r w:rsidRPr="00010DF7">
        <w:rPr>
          <w:rStyle w:val="FootnoteReference"/>
          <w:szCs w:val="20"/>
        </w:rPr>
        <w:footnoteRef/>
      </w:r>
      <w:r w:rsidRPr="00010DF7">
        <w:rPr>
          <w:szCs w:val="20"/>
        </w:rPr>
        <w:t xml:space="preserve"> </w:t>
      </w:r>
      <w:r w:rsidRPr="00010DF7">
        <w:rPr>
          <w:rStyle w:val="FootnoteTextChar"/>
        </w:rPr>
        <w:t xml:space="preserve">CEDAW, </w:t>
      </w:r>
      <w:r w:rsidRPr="00010DF7">
        <w:rPr>
          <w:rStyle w:val="FootnoteTextChar"/>
          <w:i/>
          <w:iCs/>
        </w:rPr>
        <w:t>Seventh periodic report submitted by the Netherlands under article 18 of the Convention, due in 2020</w:t>
      </w:r>
      <w:r w:rsidRPr="00010DF7">
        <w:rPr>
          <w:rStyle w:val="FootnoteTextChar"/>
        </w:rPr>
        <w:t>, C/NLD/7 (2022) para. 24.</w:t>
      </w:r>
    </w:p>
  </w:footnote>
  <w:footnote w:id="231">
    <w:p w14:paraId="3C69A1B1" w14:textId="7AF8A972" w:rsidR="00E9654A" w:rsidRPr="00010DF7" w:rsidRDefault="00E9654A">
      <w:pPr>
        <w:pStyle w:val="FootnoteText"/>
      </w:pPr>
      <w:r w:rsidRPr="00010DF7">
        <w:rPr>
          <w:rStyle w:val="FootnoteReference"/>
        </w:rPr>
        <w:footnoteRef/>
      </w:r>
      <w:r w:rsidRPr="00010DF7">
        <w:t xml:space="preserve"> </w:t>
      </w:r>
      <w:r w:rsidR="004F7877" w:rsidRPr="00010DF7">
        <w:t>Government of the Netherlands, Feminist foreign policy explained, https://www.government.nl/latest/news/2022/11/18/feminist-foreign-policy-netherlands (last accessed Apr.19, 2023).</w:t>
      </w:r>
    </w:p>
  </w:footnote>
  <w:footnote w:id="232">
    <w:p w14:paraId="6DD7F9EC" w14:textId="334977E2" w:rsidR="00BE6BE8" w:rsidRPr="00010DF7" w:rsidRDefault="00BE6BE8" w:rsidP="00BE6BE8">
      <w:pPr>
        <w:pStyle w:val="FootnoteText"/>
      </w:pPr>
      <w:r w:rsidRPr="00010DF7">
        <w:rPr>
          <w:rStyle w:val="FootnoteReference"/>
        </w:rPr>
        <w:footnoteRef/>
      </w:r>
      <w:r w:rsidRPr="00010DF7">
        <w:t xml:space="preserve"> </w:t>
      </w:r>
      <w:r w:rsidRPr="00010DF7">
        <w:fldChar w:fldCharType="begin"/>
      </w:r>
      <w:r w:rsidR="00BF63A9" w:rsidRPr="00010DF7">
        <w:instrText xml:space="preserve"> ADDIN ZOTERO_ITEM CSL_CITATION {"citationID":"WigNQ7yQ","properties":{"formattedCitation":"Hungary - Women, Peace, Security, https://www.globalwps.org/details/HUN (last visited Mar 13, 2023).","plainCitation":"Hungary - Women, Peace, Security, https://www.globalwps.org/details/HUN (last visited Mar 13, 2023).","dontUpdate":true,"noteIndex":207},"citationItems":[{"id":946,"uris":["http://zotero.org/users/10345638/items/EKXJ9478"],"itemData":{"id":946,"type":"webpage","title":"Hungary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Netherlands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globalwps.org/details/NLD (last visited Apr. 18, 2023).</w:t>
      </w:r>
      <w:r w:rsidRPr="00010DF7">
        <w:fldChar w:fldCharType="end"/>
      </w:r>
    </w:p>
  </w:footnote>
  <w:footnote w:id="233">
    <w:p w14:paraId="119BB438" w14:textId="77DE893D" w:rsidR="00BE6BE8" w:rsidRPr="00010DF7" w:rsidRDefault="00BE6BE8" w:rsidP="00BE6BE8">
      <w:pPr>
        <w:pStyle w:val="FootnoteText"/>
      </w:pPr>
      <w:r w:rsidRPr="00010DF7">
        <w:rPr>
          <w:rStyle w:val="FootnoteReference"/>
        </w:rPr>
        <w:footnoteRef/>
      </w:r>
      <w:r w:rsidRPr="00010DF7">
        <w:t xml:space="preserve"> </w:t>
      </w:r>
      <w:r w:rsidRPr="00010DF7">
        <w:fldChar w:fldCharType="begin"/>
      </w:r>
      <w:r w:rsidR="00BF63A9" w:rsidRPr="00010DF7">
        <w:instrText xml:space="preserve"> ADDIN ZOTERO_ITEM CSL_CITATION {"citationID":"jij3ldgV","properties":{"formattedCitation":"Hungary - Women, Peace, Security, https://www.globalwps.org/details/HUN (last visited Mar 13, 2023).","plainCitation":"Hungary - Women, Peace, Security, https://www.globalwps.org/details/HUN (last visited Mar 13, 2023).","dontUpdate":true,"noteIndex":208},"citationItems":[{"id":946,"uris":["http://zotero.org/users/10345638/items/EKXJ9478"],"itemData":{"id":946,"type":"webpage","title":"Hungary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Netherlands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globalwps.org/details/NLD (last visited Apr. 18, 2023).</w:t>
      </w:r>
      <w:r w:rsidRPr="00010DF7">
        <w:fldChar w:fldCharType="end"/>
      </w:r>
    </w:p>
  </w:footnote>
  <w:footnote w:id="234">
    <w:p w14:paraId="5628D515" w14:textId="77777777"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235">
    <w:p w14:paraId="3DC9CAC4" w14:textId="3AEE3D64" w:rsidR="0089432D" w:rsidRPr="00010DF7" w:rsidRDefault="0089432D">
      <w:pPr>
        <w:pStyle w:val="FootnoteText"/>
      </w:pPr>
      <w:r w:rsidRPr="00010DF7">
        <w:rPr>
          <w:rStyle w:val="FootnoteReference"/>
        </w:rPr>
        <w:footnoteRef/>
      </w:r>
      <w:r w:rsidRPr="00010DF7">
        <w:t xml:space="preserve"> </w:t>
      </w:r>
      <w:r w:rsidR="002C74D6" w:rsidRPr="00010DF7">
        <w:t xml:space="preserve">Republic of North Macedonia, </w:t>
      </w:r>
      <w:r w:rsidR="002C74D6" w:rsidRPr="00010DF7">
        <w:rPr>
          <w:i/>
          <w:iCs/>
        </w:rPr>
        <w:t>Enhanced Nationally Determined Contribution</w:t>
      </w:r>
      <w:r w:rsidR="002C74D6" w:rsidRPr="00010DF7">
        <w:t xml:space="preserve">, UNFCCC, https://unfccc.int/sites/default/files/NDC/2022-06/Macedonian%20enhanced%20NDC%20(002).pdf  </w:t>
      </w:r>
      <w:r w:rsidR="002C74D6" w:rsidRPr="00010DF7">
        <w:rPr>
          <w:rFonts w:cs="Times New Roman"/>
          <w:lang w:val="en-GB"/>
        </w:rPr>
        <w:t>(last visited Apr. 18, 2023).</w:t>
      </w:r>
    </w:p>
  </w:footnote>
  <w:footnote w:id="236">
    <w:p w14:paraId="7B7B2D19" w14:textId="0980A7EB" w:rsidR="00BF63A9" w:rsidRPr="00010DF7" w:rsidRDefault="00BF63A9">
      <w:pPr>
        <w:pStyle w:val="FootnoteText"/>
      </w:pPr>
      <w:r w:rsidRPr="00010DF7">
        <w:rPr>
          <w:rStyle w:val="FootnoteReference"/>
        </w:rPr>
        <w:footnoteRef/>
      </w:r>
      <w:r w:rsidRPr="00010DF7">
        <w:t xml:space="preserve"> </w:t>
      </w:r>
      <w:r w:rsidRPr="00010DF7">
        <w:fldChar w:fldCharType="begin"/>
      </w:r>
      <w:r w:rsidRPr="00010DF7">
        <w:instrText xml:space="preserve"> ADDIN ZOTERO_ITEM CSL_CITATION {"citationID":"4LkRvIlC","properties":{"formattedCitation":"{\\scaps Biljana Kotevska}, {\\i{}North Macedonia - Country Report Gender Equality 2022}, (2022), https://www.equalitylaw.eu/downloads/5757-north-macedonia-country-report-gender-equality-2022-1-23-mb.","plainCitation":"Biljana Kotevska, North Macedonia - Country Report Gender Equality 2022, (2022), https://www.equalitylaw.eu/downloads/5757-north-macedonia-country-report-gender-equality-2022-1-23-mb.","noteIndex":211},"citationItems":[{"id":632,"uris":["http://zotero.org/users/10345638/items/7FDVRIBT"],"itemData":{"id":632,"type":"report","collection-title":"European Equality Law Network","event-place":"Luxembourg: Publications Office of the European Union","publisher":"EU Commission. Directorate-General for Justice and Consumers.","publisher-place":"Luxembourg: Publications Office of the European Union","title":"North Macedonia - Country Report Gender Equality 2022","URL":"https://www.equalitylaw.eu/downloads/5757-north-macedonia-country-report-gender-equality-2022-1-23-mb","author":[{"family":"Kotevska","given":"Biljana"}],"issued":{"date-parts":[["2022"]]}}}],"schema":"https://github.com/citation-style-language/schema/raw/master/csl-citation.json"} </w:instrText>
      </w:r>
      <w:r w:rsidRPr="00010DF7">
        <w:fldChar w:fldCharType="separate"/>
      </w:r>
      <w:r w:rsidRPr="00010DF7">
        <w:rPr>
          <w:rFonts w:cs="Times New Roman"/>
          <w:smallCaps/>
          <w:lang w:val="en-GB"/>
        </w:rPr>
        <w:t>Biljana Kotevska</w:t>
      </w:r>
      <w:r w:rsidRPr="00010DF7">
        <w:rPr>
          <w:rFonts w:cs="Times New Roman"/>
          <w:lang w:val="en-GB"/>
        </w:rPr>
        <w:t xml:space="preserve">, </w:t>
      </w:r>
      <w:r w:rsidRPr="00010DF7">
        <w:rPr>
          <w:rFonts w:cs="Times New Roman"/>
          <w:i/>
          <w:iCs/>
          <w:lang w:val="en-GB"/>
        </w:rPr>
        <w:t>North Macedonia - Country Report Gender Equality 2022</w:t>
      </w:r>
      <w:r w:rsidRPr="00010DF7">
        <w:rPr>
          <w:rFonts w:cs="Times New Roman"/>
          <w:lang w:val="en-GB"/>
        </w:rPr>
        <w:t>,</w:t>
      </w:r>
      <w:r w:rsidR="00057F34" w:rsidRPr="00010DF7">
        <w:rPr>
          <w:rFonts w:cs="Times New Roman"/>
          <w:lang w:val="en-GB"/>
        </w:rPr>
        <w:t xml:space="preserve"> 20</w:t>
      </w:r>
      <w:r w:rsidRPr="00010DF7">
        <w:rPr>
          <w:rFonts w:cs="Times New Roman"/>
          <w:lang w:val="en-GB"/>
        </w:rPr>
        <w:t xml:space="preserve"> (2022), https://www.equalitylaw.eu/downloads/5757-north-macedonia-country-report-gender-equality-2022-1-23-mb.</w:t>
      </w:r>
      <w:r w:rsidRPr="00010DF7">
        <w:fldChar w:fldCharType="end"/>
      </w:r>
    </w:p>
  </w:footnote>
  <w:footnote w:id="237">
    <w:p w14:paraId="5F5B1715" w14:textId="097EF122" w:rsidR="0095741A" w:rsidRPr="00010DF7" w:rsidRDefault="0095741A" w:rsidP="0095741A">
      <w:pPr>
        <w:pStyle w:val="FootnoteText"/>
      </w:pPr>
      <w:r w:rsidRPr="00010DF7">
        <w:rPr>
          <w:rStyle w:val="FootnoteReference"/>
        </w:rPr>
        <w:footnoteRef/>
      </w:r>
      <w:r w:rsidRPr="00010DF7">
        <w:t xml:space="preserve"> </w:t>
      </w:r>
      <w:r w:rsidRPr="00010DF7">
        <w:fldChar w:fldCharType="begin"/>
      </w:r>
      <w:r w:rsidR="00BF63A9" w:rsidRPr="00010DF7">
        <w:instrText xml:space="preserve"> ADDIN ZOTERO_ITEM CSL_CITATION {"citationID":"zb95GaYT","properties":{"formattedCitation":"Hungary - Women, Peace, Security, https://www.globalwps.org/details/HUN (last visited Mar 13, 2023).","plainCitation":"Hungary - Women, Peace, Security, https://www.globalwps.org/details/HUN (last visited Mar 13, 2023).","dontUpdate":true,"noteIndex":212},"citationItems":[{"id":946,"uris":["http://zotero.org/users/10345638/items/EKXJ9478"],"itemData":{"id":946,"type":"webpage","title":"Hungary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North Macedonia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https://www.globalwps.org/details/MKD (last visited Apr. 18, 2023).</w:t>
      </w:r>
      <w:r w:rsidRPr="00010DF7">
        <w:fldChar w:fldCharType="end"/>
      </w:r>
    </w:p>
  </w:footnote>
  <w:footnote w:id="238">
    <w:p w14:paraId="092969F7" w14:textId="77777777"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239">
    <w:p w14:paraId="2BD1270A" w14:textId="07D90BFF" w:rsidR="00207184" w:rsidRPr="00010DF7" w:rsidRDefault="00207184" w:rsidP="00207184">
      <w:pPr>
        <w:pStyle w:val="FootnoteText"/>
      </w:pPr>
      <w:r w:rsidRPr="00010DF7">
        <w:t xml:space="preserve"> </w:t>
      </w:r>
      <w:r w:rsidRPr="00010DF7">
        <w:rPr>
          <w:rStyle w:val="FootnoteReference"/>
        </w:rPr>
        <w:footnoteRef/>
      </w:r>
      <w:r w:rsidRPr="00010DF7">
        <w:t xml:space="preserve"> Caitlin Biddolph and Laura J. Shepherd, </w:t>
      </w:r>
      <w:r w:rsidRPr="00010DF7">
        <w:rPr>
          <w:i/>
          <w:iCs/>
        </w:rPr>
        <w:t>WPS National Action Plans: Content Analysis and Data Visualisation. North Macedonia</w:t>
      </w:r>
      <w:r w:rsidRPr="00010DF7">
        <w:t xml:space="preserve">, v3, 2022, </w:t>
      </w:r>
      <w:r w:rsidRPr="00010DF7">
        <w:rPr>
          <w:rFonts w:cs="Times New Roman"/>
          <w:smallCaps/>
          <w:lang w:val="en-GB"/>
        </w:rPr>
        <w:t>LSE - Women, Peace Security</w:t>
      </w:r>
      <w:r w:rsidRPr="00010DF7">
        <w:t xml:space="preserve">. Online, </w:t>
      </w:r>
      <w:r w:rsidRPr="00010DF7">
        <w:fldChar w:fldCharType="begin"/>
      </w:r>
      <w:r w:rsidR="00BF63A9" w:rsidRPr="00010DF7">
        <w:instrText xml:space="preserve"> ADDIN ZOTERO_ITEM CSL_CITATION {"citationID":"ITgOh5W8","properties":{"formattedCitation":"LSE-WPS National Action Plans: Albania, {\\scaps LSE - Women, Peace Security}, https://www.wpsnaps.org/nap/albanian-national-action-plan/ (last visited Mar 12, 2023).","plainCitation":"LSE-WPS National Action Plans: Albania, LSE - Women, Peace Security, https://www.wpsnaps.org/nap/albanian-national-action-plan/ (last visited Mar 12, 2023).","dontUpdate":true,"noteIndex":214},"citationItems":[{"id":934,"uris":["http://zotero.org/users/10345638/items/FT49W2NB"],"itemData":{"id":934,"type":"webpage","abstract":"Explore the Women, Peace and Security National Action Plans by region, country, year and topic.","container-title":"LSE - Women, Peace Security","language":"en-GB","title":"LSE-WPS National Action Plans: Albania","URL":"https://www.wpsnaps.org/nap/albanian-national-action-plan/","accessed":{"date-parts":[["2023",3,12]]}}}],"schema":"https://github.com/citation-style-language/schema/raw/master/csl-citation.json"} </w:instrText>
      </w:r>
      <w:r w:rsidRPr="00010DF7">
        <w:fldChar w:fldCharType="separate"/>
      </w:r>
      <w:r w:rsidRPr="00010DF7">
        <w:t xml:space="preserve"> https://www.wpsnaps.org/nap/macedonian-national-action-plan/ </w:t>
      </w:r>
      <w:r w:rsidRPr="00010DF7">
        <w:rPr>
          <w:rFonts w:cs="Times New Roman"/>
          <w:lang w:val="en-GB"/>
        </w:rPr>
        <w:t>(last visited Apr. 1</w:t>
      </w:r>
      <w:r w:rsidR="00B36D4F" w:rsidRPr="00010DF7">
        <w:rPr>
          <w:rFonts w:cs="Times New Roman"/>
          <w:lang w:val="en-GB"/>
        </w:rPr>
        <w:t>8</w:t>
      </w:r>
      <w:r w:rsidRPr="00010DF7">
        <w:rPr>
          <w:rFonts w:cs="Times New Roman"/>
          <w:lang w:val="en-GB"/>
        </w:rPr>
        <w:t>, 2023).</w:t>
      </w:r>
      <w:r w:rsidRPr="00010DF7">
        <w:fldChar w:fldCharType="end"/>
      </w:r>
    </w:p>
  </w:footnote>
  <w:footnote w:id="240">
    <w:p w14:paraId="615498AB" w14:textId="2ABD233F" w:rsidR="001A311E" w:rsidRPr="00010DF7" w:rsidRDefault="001A311E">
      <w:pPr>
        <w:pStyle w:val="FootnoteText"/>
      </w:pPr>
      <w:r w:rsidRPr="00010DF7">
        <w:rPr>
          <w:rStyle w:val="FootnoteReference"/>
        </w:rPr>
        <w:footnoteRef/>
      </w:r>
      <w:r w:rsidRPr="00010DF7">
        <w:t xml:space="preserve"> </w:t>
      </w:r>
      <w:r w:rsidR="0068132B" w:rsidRPr="00010DF7">
        <w:t xml:space="preserve">Update of Norway's nationally determined contribution, UNFCCC, https://unfccc.int/sites/default/files/NDC/2022-06/Norway_updatedNDC_2020%20(Updated%20submission).pdf  </w:t>
      </w:r>
      <w:r w:rsidR="0068132B" w:rsidRPr="00010DF7">
        <w:rPr>
          <w:rFonts w:cs="Times New Roman"/>
          <w:lang w:val="en-GB"/>
        </w:rPr>
        <w:t>(last visited Apr. 18, 2023).</w:t>
      </w:r>
    </w:p>
  </w:footnote>
  <w:footnote w:id="241">
    <w:p w14:paraId="1988B62B" w14:textId="459DCC0D" w:rsidR="005E704A" w:rsidRPr="00010DF7" w:rsidRDefault="005E704A" w:rsidP="005E704A">
      <w:pPr>
        <w:spacing w:before="0" w:after="0"/>
        <w:rPr>
          <w:szCs w:val="20"/>
        </w:rPr>
      </w:pPr>
      <w:r w:rsidRPr="00010DF7">
        <w:rPr>
          <w:rStyle w:val="FooterChar"/>
          <w:szCs w:val="20"/>
          <w:vertAlign w:val="superscript"/>
        </w:rPr>
        <w:footnoteRef/>
      </w:r>
      <w:r w:rsidRPr="00010DF7">
        <w:rPr>
          <w:rStyle w:val="FooterChar"/>
          <w:szCs w:val="20"/>
          <w:vertAlign w:val="superscript"/>
        </w:rPr>
        <w:t xml:space="preserve"> </w:t>
      </w:r>
      <w:r w:rsidRPr="00010DF7">
        <w:rPr>
          <w:rStyle w:val="FootnoteTextChar"/>
        </w:rPr>
        <w:t>CEDAW, Concluding observations on the ninth periodic report of Norway*, C/NOR/CO/9 (2017) par</w:t>
      </w:r>
      <w:r w:rsidR="00D05A31" w:rsidRPr="00010DF7">
        <w:rPr>
          <w:rStyle w:val="FootnoteTextChar"/>
        </w:rPr>
        <w:t>a. 30.</w:t>
      </w:r>
    </w:p>
  </w:footnote>
  <w:footnote w:id="242">
    <w:p w14:paraId="6268140F" w14:textId="02DD2B40" w:rsidR="00B00F75" w:rsidRPr="00010DF7" w:rsidRDefault="00B00F75">
      <w:pPr>
        <w:pStyle w:val="FootnoteText"/>
      </w:pPr>
      <w:r w:rsidRPr="00010DF7">
        <w:rPr>
          <w:rStyle w:val="FootnoteReference"/>
        </w:rPr>
        <w:footnoteRef/>
      </w:r>
      <w:r w:rsidRPr="00010DF7">
        <w:t xml:space="preserve"> </w:t>
      </w:r>
      <w:r w:rsidR="005F209B" w:rsidRPr="00010DF7">
        <w:t xml:space="preserve">Norwegian Ministries, </w:t>
      </w:r>
      <w:r w:rsidR="005F209B" w:rsidRPr="00010DF7">
        <w:rPr>
          <w:i/>
          <w:iCs/>
        </w:rPr>
        <w:t xml:space="preserve">Women, Peace and Security (2019 - 2022) </w:t>
      </w:r>
      <w:r w:rsidRPr="00010DF7">
        <w:t>33, https://www.wpsnaps.org/app/uploads/2019/09/Norway-NAP-4-2019-2022.pdf.</w:t>
      </w:r>
    </w:p>
  </w:footnote>
  <w:footnote w:id="243">
    <w:p w14:paraId="5740C118" w14:textId="77777777" w:rsidR="001140A6" w:rsidRPr="00010DF7" w:rsidRDefault="001140A6" w:rsidP="001140A6">
      <w:pPr>
        <w:pStyle w:val="FootnoteText"/>
      </w:pPr>
      <w:r w:rsidRPr="00010DF7">
        <w:rPr>
          <w:rStyle w:val="FootnoteReference"/>
        </w:rPr>
        <w:footnoteRef/>
      </w:r>
      <w:r w:rsidRPr="00010DF7">
        <w:t xml:space="preserve"> </w:t>
      </w:r>
      <w:r w:rsidRPr="00010DF7">
        <w:fldChar w:fldCharType="begin"/>
      </w:r>
      <w:r w:rsidRPr="00010DF7">
        <w:instrText xml:space="preserve"> ADDIN ZOTERO_ITEM CSL_CITATION {"citationID":"ASvbVtAB","properties":{"formattedCitation":"Hungary - Women, Peace, Security, https://www.globalwps.org/details/HUN (last visited Mar 13, 2023).","plainCitation":"Hungary - Women, Peace, Security, https://www.globalwps.org/details/HUN (last visited Mar 13, 2023).","noteIndex":105},"citationItems":[{"id":946,"uris":["http://zotero.org/users/10345638/items/EKXJ9478"],"itemData":{"id":946,"type":"webpage","title":"Hungary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Norway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https://www.globalwps.org/details/NOR (last visited Apr. 19, 2023).</w:t>
      </w:r>
      <w:r w:rsidRPr="00010DF7">
        <w:fldChar w:fldCharType="end"/>
      </w:r>
    </w:p>
  </w:footnote>
  <w:footnote w:id="244">
    <w:p w14:paraId="7668452B" w14:textId="0474A01F"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245">
    <w:p w14:paraId="0E45DA50" w14:textId="7E698A6B" w:rsidR="00C558BE" w:rsidRPr="00010DF7" w:rsidRDefault="00C558BE" w:rsidP="00C558BE">
      <w:pPr>
        <w:pStyle w:val="FootnoteText"/>
      </w:pPr>
      <w:r w:rsidRPr="00010DF7">
        <w:rPr>
          <w:rStyle w:val="FootnoteReference"/>
        </w:rPr>
        <w:footnoteRef/>
      </w:r>
      <w:r w:rsidR="005E704A" w:rsidRPr="00010DF7">
        <w:t xml:space="preserve"> </w:t>
      </w:r>
      <w:r w:rsidRPr="00010DF7">
        <w:t xml:space="preserve">Caitlin Biddolph and Laura J. Shepherd, </w:t>
      </w:r>
      <w:r w:rsidRPr="00010DF7">
        <w:rPr>
          <w:i/>
          <w:iCs/>
        </w:rPr>
        <w:t>WPS National Action Plans: Content Analysis and Data Visualisation. Norway</w:t>
      </w:r>
      <w:r w:rsidRPr="00010DF7">
        <w:t xml:space="preserve">, v3, 2022, </w:t>
      </w:r>
      <w:r w:rsidRPr="00010DF7">
        <w:rPr>
          <w:rFonts w:cs="Times New Roman"/>
          <w:smallCaps/>
          <w:lang w:val="en-GB"/>
        </w:rPr>
        <w:t>LSE - Women, Peace Security</w:t>
      </w:r>
      <w:r w:rsidRPr="00010DF7">
        <w:t xml:space="preserve">. Online, </w:t>
      </w:r>
      <w:r w:rsidRPr="00010DF7">
        <w:fldChar w:fldCharType="begin"/>
      </w:r>
      <w:r w:rsidR="00B36D4F" w:rsidRPr="00010DF7">
        <w:instrText xml:space="preserve"> ADDIN ZOTERO_ITEM CSL_CITATION {"citationID":"DBcs8wWm","properties":{"formattedCitation":"LSE-WPS National Action Plans: Albania, {\\scaps LSE - Women, Peace Security}, https://www.wpsnaps.org/nap/albanian-national-action-plan/ (last visited Mar 12, 2023).","plainCitation":"LSE-WPS National Action Plans: Albania, LSE - Women, Peace Security, https://www.wpsnaps.org/nap/albanian-national-action-plan/ (last visited Mar 12, 2023).","dontUpdate":true,"noteIndex":205},"citationItems":[{"id":934,"uris":["http://zotero.org/users/10345638/items/FT49W2NB"],"itemData":{"id":934,"type":"webpage","abstract":"Explore the Women, Peace and Security National Action Plans by region, country, year and topic.","container-title":"LSE - Women, Peace Security","language":"en-GB","title":"LSE-WPS National Action Plans: Albania","URL":"https://www.wpsnaps.org/nap/albanian-national-action-plan/","accessed":{"date-parts":[["2023",3,12]]}}}],"schema":"https://github.com/citation-style-language/schema/raw/master/csl-citation.json"} </w:instrText>
      </w:r>
      <w:r w:rsidRPr="00010DF7">
        <w:fldChar w:fldCharType="separate"/>
      </w:r>
      <w:r w:rsidRPr="00010DF7">
        <w:t xml:space="preserve"> https://www.wpsnaps.org/nap/norwegian-national-action-plan-iv/ </w:t>
      </w:r>
      <w:r w:rsidRPr="00010DF7">
        <w:rPr>
          <w:rFonts w:cs="Times New Roman"/>
          <w:lang w:val="en-GB"/>
        </w:rPr>
        <w:t>(last visited Apr. 18, 2023).</w:t>
      </w:r>
      <w:r w:rsidRPr="00010DF7">
        <w:fldChar w:fldCharType="end"/>
      </w:r>
    </w:p>
  </w:footnote>
  <w:footnote w:id="246">
    <w:p w14:paraId="782B0688" w14:textId="77777777" w:rsidR="00161C52" w:rsidRPr="00010DF7" w:rsidRDefault="00161C52" w:rsidP="00161C52">
      <w:pPr>
        <w:pStyle w:val="FootnoteText"/>
      </w:pPr>
      <w:r w:rsidRPr="00010DF7">
        <w:rPr>
          <w:rStyle w:val="FootnoteReference"/>
        </w:rPr>
        <w:footnoteRef/>
      </w:r>
      <w:r w:rsidRPr="00010DF7">
        <w:t xml:space="preserve"> Hilary Gbedemah Rapporteur on follow-up Committee on the Elimination of Discrimination against Women (Apr. 13, 2018), 5. </w:t>
      </w:r>
    </w:p>
  </w:footnote>
  <w:footnote w:id="247">
    <w:p w14:paraId="05DD781B" w14:textId="77777777" w:rsidR="006C11F3" w:rsidRPr="00010DF7" w:rsidRDefault="006C11F3" w:rsidP="006C11F3">
      <w:pPr>
        <w:pStyle w:val="FootnoteText"/>
      </w:pPr>
      <w:r w:rsidRPr="00010DF7">
        <w:rPr>
          <w:rStyle w:val="FootnoteReference"/>
        </w:rPr>
        <w:footnoteRef/>
      </w:r>
      <w:r w:rsidRPr="00010DF7">
        <w:t xml:space="preserve"> Hilary Gbedemah Rapporteur on follow-up Committee on the Elimination of Discrimination against Women (Apr. 13, 2018), 5. </w:t>
      </w:r>
    </w:p>
  </w:footnote>
  <w:footnote w:id="248">
    <w:p w14:paraId="3E58EAC5" w14:textId="77777777" w:rsidR="00640D75" w:rsidRPr="00010DF7" w:rsidRDefault="00640D75" w:rsidP="00640D75">
      <w:pPr>
        <w:pStyle w:val="FootnoteText"/>
      </w:pPr>
      <w:r w:rsidRPr="00010DF7">
        <w:rPr>
          <w:rStyle w:val="FootnoteReference"/>
        </w:rPr>
        <w:footnoteRef/>
      </w:r>
      <w:r w:rsidRPr="00010DF7">
        <w:t xml:space="preserve"> </w:t>
      </w:r>
      <w:r w:rsidRPr="00010DF7">
        <w:fldChar w:fldCharType="begin"/>
      </w:r>
      <w:r w:rsidRPr="00010DF7">
        <w:instrText xml:space="preserve"> ADDIN ZOTERO_ITEM CSL_CITATION {"citationID":"ASvbVtAB","properties":{"formattedCitation":"Hungary - Women, Peace, Security, https://www.globalwps.org/details/HUN (last visited Mar 13, 2023).","plainCitation":"Hungary - Women, Peace, Security, https://www.globalwps.org/details/HUN (last visited Mar 13, 2023).","noteIndex":105},"citationItems":[{"id":946,"uris":["http://zotero.org/users/10345638/items/EKXJ9478"],"itemData":{"id":946,"type":"webpage","title":"Hungary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Poland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https://www.globalwps.org/details/POL (last visited Apr. 19, 2023).</w:t>
      </w:r>
      <w:r w:rsidRPr="00010DF7">
        <w:fldChar w:fldCharType="end"/>
      </w:r>
    </w:p>
  </w:footnote>
  <w:footnote w:id="249">
    <w:p w14:paraId="74336FF0" w14:textId="77777777" w:rsidR="00640D75" w:rsidRPr="00010DF7" w:rsidRDefault="00640D75" w:rsidP="00640D75">
      <w:pPr>
        <w:pStyle w:val="FootnoteText"/>
      </w:pPr>
      <w:r w:rsidRPr="00010DF7">
        <w:rPr>
          <w:rStyle w:val="FootnoteReference"/>
        </w:rPr>
        <w:footnoteRef/>
      </w:r>
      <w:r w:rsidRPr="00010DF7">
        <w:t xml:space="preserve"> </w:t>
      </w:r>
      <w:r w:rsidRPr="00010DF7">
        <w:fldChar w:fldCharType="begin"/>
      </w:r>
      <w:r w:rsidRPr="00010DF7">
        <w:instrText xml:space="preserve"> ADDIN ZOTERO_ITEM CSL_CITATION {"citationID":"ASvbVtAB","properties":{"formattedCitation":"Hungary - Women, Peace, Security, https://www.globalwps.org/details/HUN (last visited Mar 13, 2023).","plainCitation":"Hungary - Women, Peace, Security, https://www.globalwps.org/details/HUN (last visited Mar 13, 2023).","noteIndex":105},"citationItems":[{"id":946,"uris":["http://zotero.org/users/10345638/items/EKXJ9478"],"itemData":{"id":946,"type":"webpage","title":"Hungary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Poland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https://www.globalwps.org/details/POL (last visited Apr. 19, 2023).</w:t>
      </w:r>
      <w:r w:rsidRPr="00010DF7">
        <w:fldChar w:fldCharType="end"/>
      </w:r>
    </w:p>
  </w:footnote>
  <w:footnote w:id="250">
    <w:p w14:paraId="2EA78A4E" w14:textId="3EA6F227" w:rsidR="00D45124" w:rsidRPr="00010DF7" w:rsidRDefault="00D45124" w:rsidP="00D45124">
      <w:pPr>
        <w:pStyle w:val="FootnoteText"/>
      </w:pPr>
      <w:r w:rsidRPr="00010DF7">
        <w:rPr>
          <w:rStyle w:val="FootnoteReference"/>
        </w:rPr>
        <w:footnoteRef/>
      </w:r>
      <w:r w:rsidRPr="00010DF7">
        <w:t xml:space="preserve"> </w:t>
      </w:r>
      <w:r w:rsidRPr="00010DF7">
        <w:rPr>
          <w:smallCaps/>
        </w:rPr>
        <w:t>North Atlantic Treaty Organization</w:t>
      </w:r>
      <w:r w:rsidRPr="00010DF7">
        <w:t xml:space="preserve">, </w:t>
      </w:r>
      <w:r w:rsidRPr="00010DF7">
        <w:rPr>
          <w:i/>
          <w:iCs/>
        </w:rPr>
        <w:t>Summary of the National Reports of NATO Member and Partner Nations to the NATO Committee on Gender Perspectives. Full Report</w:t>
      </w:r>
      <w:r w:rsidRPr="00010DF7">
        <w:t>,</w:t>
      </w:r>
      <w:r w:rsidRPr="00010DF7">
        <w:rPr>
          <w:i/>
          <w:iCs/>
        </w:rPr>
        <w:t xml:space="preserve"> </w:t>
      </w:r>
      <w:r w:rsidRPr="00010DF7">
        <w:t xml:space="preserve">2019, at </w:t>
      </w:r>
      <w:r>
        <w:t>435</w:t>
      </w:r>
      <w:r w:rsidRPr="00010DF7">
        <w:t xml:space="preserve">, </w:t>
      </w:r>
      <w:hyperlink r:id="rId68" w:history="1">
        <w:r w:rsidRPr="00AC62F9">
          <w:rPr>
            <w:rStyle w:val="Hyperlink"/>
          </w:rPr>
          <w:t>https://www.nato.int/nato_static_fl2014/assets/pdf/2021/9/pdf/NCGP_Full_Report_2019.pdf</w:t>
        </w:r>
      </w:hyperlink>
      <w:r>
        <w:t xml:space="preserve"> </w:t>
      </w:r>
      <w:r w:rsidRPr="00010DF7">
        <w:t xml:space="preserve">. </w:t>
      </w:r>
    </w:p>
  </w:footnote>
  <w:footnote w:id="251">
    <w:p w14:paraId="3EBE0DD6" w14:textId="77777777"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252">
    <w:p w14:paraId="250EC177" w14:textId="62975A41" w:rsidR="00E804E1" w:rsidRPr="00010DF7" w:rsidRDefault="00E804E1" w:rsidP="00E804E1">
      <w:pPr>
        <w:pStyle w:val="FootnoteText"/>
      </w:pPr>
      <w:r w:rsidRPr="00010DF7">
        <w:t xml:space="preserve"> </w:t>
      </w:r>
      <w:r w:rsidRPr="00010DF7">
        <w:rPr>
          <w:rStyle w:val="FootnoteReference"/>
        </w:rPr>
        <w:footnoteRef/>
      </w:r>
      <w:r w:rsidR="00165F51" w:rsidRPr="00010DF7">
        <w:t xml:space="preserve"> </w:t>
      </w:r>
      <w:r w:rsidRPr="00010DF7">
        <w:t xml:space="preserve">Caitlin Biddolph and Laura J. Shepherd, </w:t>
      </w:r>
      <w:r w:rsidRPr="00010DF7">
        <w:rPr>
          <w:i/>
          <w:iCs/>
        </w:rPr>
        <w:t xml:space="preserve">WPS National Action Plans: Content Analysis and Data Visualisation. </w:t>
      </w:r>
      <w:r w:rsidR="00FD3A4D" w:rsidRPr="00010DF7">
        <w:rPr>
          <w:i/>
          <w:iCs/>
        </w:rPr>
        <w:t>Poland</w:t>
      </w:r>
      <w:r w:rsidRPr="00010DF7">
        <w:t xml:space="preserve">, v3, 2022, </w:t>
      </w:r>
      <w:r w:rsidRPr="00010DF7">
        <w:rPr>
          <w:rFonts w:cs="Times New Roman"/>
          <w:smallCaps/>
          <w:lang w:val="en-GB"/>
        </w:rPr>
        <w:t>LSE - Women, Peace Security</w:t>
      </w:r>
      <w:r w:rsidRPr="00010DF7">
        <w:t>, https://www.wpsnaps.org/nap/polish-national-action-plan/ (last visited Apr. 18, 2023).</w:t>
      </w:r>
    </w:p>
  </w:footnote>
  <w:footnote w:id="253">
    <w:p w14:paraId="7ADC9811" w14:textId="1487282E" w:rsidR="00722B9E" w:rsidRPr="00010DF7" w:rsidRDefault="00722B9E">
      <w:pPr>
        <w:pStyle w:val="FootnoteText"/>
      </w:pPr>
      <w:r w:rsidRPr="00010DF7">
        <w:rPr>
          <w:rStyle w:val="FootnoteReference"/>
        </w:rPr>
        <w:footnoteRef/>
      </w:r>
      <w:r w:rsidRPr="00010DF7">
        <w:t xml:space="preserve"> </w:t>
      </w:r>
      <w:r w:rsidR="0035738E" w:rsidRPr="00010DF7">
        <w:t xml:space="preserve">Ministry of Foreign Affairs Poland, </w:t>
      </w:r>
      <w:r w:rsidR="0035738E" w:rsidRPr="00010DF7">
        <w:rPr>
          <w:i/>
          <w:iCs/>
        </w:rPr>
        <w:t>Polish National Action Plan on Women, Peace and Security 2018-2021</w:t>
      </w:r>
      <w:r w:rsidR="0035738E" w:rsidRPr="00010DF7">
        <w:t>, https://www.wpsnaps.org/app/uploads/2019/09/Poland-NAP-2018-2021.pdf (last visited Apr. 18, 2023).</w:t>
      </w:r>
    </w:p>
  </w:footnote>
  <w:footnote w:id="254">
    <w:p w14:paraId="72BB5171" w14:textId="77777777" w:rsidR="002022B2" w:rsidRPr="00D9742C" w:rsidRDefault="002022B2" w:rsidP="002022B2">
      <w:pPr>
        <w:pStyle w:val="FootnoteText"/>
      </w:pPr>
      <w:r>
        <w:rPr>
          <w:rStyle w:val="FootnoteReference"/>
        </w:rPr>
        <w:footnoteRef/>
      </w:r>
      <w:r>
        <w:t xml:space="preserve"> </w:t>
      </w:r>
      <w:r w:rsidRPr="00D9742C">
        <w:t>CEDAW, Concluding observations on the tenth periodic report of Portugal, C/PRT/CO/10 (2022)</w:t>
      </w:r>
      <w:r>
        <w:t>, para. 27.</w:t>
      </w:r>
    </w:p>
  </w:footnote>
  <w:footnote w:id="255">
    <w:p w14:paraId="68E0340D" w14:textId="77777777"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256">
    <w:p w14:paraId="10EDD9C1" w14:textId="636E5DFB" w:rsidR="00FD3A4D" w:rsidRPr="00010DF7" w:rsidRDefault="00FD3A4D" w:rsidP="00FD3A4D">
      <w:pPr>
        <w:pStyle w:val="FootnoteText"/>
      </w:pPr>
      <w:r w:rsidRPr="00010DF7">
        <w:t xml:space="preserve"> </w:t>
      </w:r>
      <w:r w:rsidRPr="00010DF7">
        <w:rPr>
          <w:rStyle w:val="FootnoteReference"/>
        </w:rPr>
        <w:footnoteRef/>
      </w:r>
      <w:r w:rsidR="00165F51" w:rsidRPr="00010DF7">
        <w:t xml:space="preserve"> </w:t>
      </w:r>
      <w:r w:rsidRPr="00010DF7">
        <w:t xml:space="preserve">Caitlin Biddolph and Laura J. Shepherd, </w:t>
      </w:r>
      <w:r w:rsidRPr="00010DF7">
        <w:rPr>
          <w:i/>
          <w:iCs/>
        </w:rPr>
        <w:t>WPS National Action Plans: Content Analysis and Data Visualisation. Portugal</w:t>
      </w:r>
      <w:r w:rsidRPr="00010DF7">
        <w:t xml:space="preserve">, v3, 2022, </w:t>
      </w:r>
      <w:r w:rsidRPr="00010DF7">
        <w:rPr>
          <w:rFonts w:cs="Times New Roman"/>
          <w:smallCaps/>
          <w:lang w:val="en-GB"/>
        </w:rPr>
        <w:t>LSE - Women, Peace Security</w:t>
      </w:r>
      <w:r w:rsidRPr="00010DF7">
        <w:t>, https://www.wpsnaps.org/nap/portuguese-national-action-plan-iii/ (last visited Apr. 18, 2023).</w:t>
      </w:r>
    </w:p>
  </w:footnote>
  <w:footnote w:id="257">
    <w:p w14:paraId="5F65D9F0" w14:textId="2ECFFE3B" w:rsidR="002B4B9C" w:rsidRPr="00010DF7" w:rsidRDefault="00087036" w:rsidP="00697B89">
      <w:pPr>
        <w:pStyle w:val="FootnoteText"/>
      </w:pPr>
      <w:r w:rsidRPr="00010DF7">
        <w:rPr>
          <w:rStyle w:val="FootnoteReference"/>
        </w:rPr>
        <w:footnoteRef/>
      </w:r>
      <w:r w:rsidRPr="00010DF7">
        <w:t xml:space="preserve"> </w:t>
      </w:r>
      <w:r w:rsidR="00697B89" w:rsidRPr="00010DF7">
        <w:t xml:space="preserve">Government Bulletin, </w:t>
      </w:r>
      <w:r w:rsidR="00697B89" w:rsidRPr="00010DF7">
        <w:rPr>
          <w:i/>
          <w:iCs/>
        </w:rPr>
        <w:t>National Action Plan for the Implementation of United Nations Security Council Resolution number 1325 (2000) concerning Women, Peace and Security 2019-2022 (PNA III)</w:t>
      </w:r>
      <w:r w:rsidR="000F58F6" w:rsidRPr="00010DF7">
        <w:t>,</w:t>
      </w:r>
      <w:r w:rsidR="00697B89" w:rsidRPr="00010DF7">
        <w:t xml:space="preserve"> </w:t>
      </w:r>
      <w:r w:rsidR="00722B9E" w:rsidRPr="00010DF7">
        <w:t>at 1260,</w:t>
      </w:r>
      <w:r w:rsidR="000F58F6" w:rsidRPr="00010DF7">
        <w:t xml:space="preserve"> Unofficial translation, funded by ARC DP160100212 (</w:t>
      </w:r>
      <w:r w:rsidR="000F58F6" w:rsidRPr="00010DF7">
        <w:rPr>
          <w:smallCaps/>
        </w:rPr>
        <w:t>CI Shepherd</w:t>
      </w:r>
      <w:r w:rsidR="000F58F6" w:rsidRPr="00010DF7">
        <w:t xml:space="preserve">), </w:t>
      </w:r>
      <w:r w:rsidR="000F58F6" w:rsidRPr="00010DF7">
        <w:rPr>
          <w:rFonts w:cs="Times New Roman"/>
          <w:smallCaps/>
          <w:lang w:val="en-GB"/>
        </w:rPr>
        <w:t>LSE - Women, Peace Security</w:t>
      </w:r>
      <w:r w:rsidR="00697B89" w:rsidRPr="00010DF7">
        <w:t xml:space="preserve">, </w:t>
      </w:r>
      <w:hyperlink r:id="rId69" w:history="1">
        <w:r w:rsidR="00697B89" w:rsidRPr="00010DF7">
          <w:rPr>
            <w:rStyle w:val="Hyperlink"/>
          </w:rPr>
          <w:t>https://www.wpsnaps.org/app/uploads/2021/11/Portugal-2019-NAP-3-2019-2022-English-translation-DP160100212.pdf</w:t>
        </w:r>
      </w:hyperlink>
      <w:r w:rsidR="00697B89" w:rsidRPr="00010DF7">
        <w:t xml:space="preserve"> (last visited Apr. 18, 2023).</w:t>
      </w:r>
    </w:p>
  </w:footnote>
  <w:footnote w:id="258">
    <w:p w14:paraId="0BB17AE5" w14:textId="77777777" w:rsidR="004D36A0" w:rsidRPr="00E7483C" w:rsidRDefault="004D36A0" w:rsidP="004D36A0">
      <w:pPr>
        <w:pStyle w:val="FootnoteText"/>
      </w:pPr>
      <w:r>
        <w:rPr>
          <w:rStyle w:val="FootnoteReference"/>
        </w:rPr>
        <w:footnoteRef/>
      </w:r>
      <w:r>
        <w:t xml:space="preserve"> </w:t>
      </w:r>
      <w:r>
        <w:fldChar w:fldCharType="begin"/>
      </w:r>
      <w:r>
        <w:instrText xml:space="preserve"> ADDIN ZOTERO_ITEM CSL_CITATION {"citationID":"ASvbVtAB","properties":{"formattedCitation":"Hungary - Women, Peace, Security, https://www.globalwps.org/details/HUN (last visited Mar 13, 2023).","plainCitation":"Hungary - Women, Peace, Security, https://www.globalwps.org/details/HUN (last visited Mar 13, 2023).","noteIndex":105},"citationItems":[{"id":946,"uris":["http://zotero.org/users/10345638/items/EKXJ9478"],"itemData":{"id":946,"type":"webpage","title":"Hungary - Women, Peace, Security","URL":"https://www.globalwps.org/details/HUN","accessed":{"date-parts":[["2023",3,13]]}}}],"schema":"https://github.com/citation-style-language/schema/raw/master/csl-citation.json"} </w:instrText>
      </w:r>
      <w:r>
        <w:fldChar w:fldCharType="separate"/>
      </w:r>
      <w:r>
        <w:rPr>
          <w:noProof/>
        </w:rPr>
        <w:t xml:space="preserve">Romania - Women, Peace, Security. </w:t>
      </w:r>
      <w:r w:rsidRPr="00A90A07">
        <w:rPr>
          <w:i/>
          <w:iCs/>
          <w:noProof/>
        </w:rPr>
        <w:t>Security Sector</w:t>
      </w:r>
      <w:r>
        <w:rPr>
          <w:noProof/>
        </w:rPr>
        <w:t xml:space="preserve">, </w:t>
      </w:r>
      <w:r w:rsidRPr="004B269C">
        <w:rPr>
          <w:smallCaps/>
          <w:noProof/>
        </w:rPr>
        <w:t>North Atlantic Treaty Organization</w:t>
      </w:r>
      <w:r>
        <w:rPr>
          <w:smallCaps/>
          <w:noProof/>
        </w:rPr>
        <w:t>,</w:t>
      </w:r>
      <w:r>
        <w:rPr>
          <w:noProof/>
        </w:rPr>
        <w:t xml:space="preserve"> </w:t>
      </w:r>
      <w:r w:rsidRPr="00283EC0">
        <w:rPr>
          <w:noProof/>
        </w:rPr>
        <w:t>https://www.globalwps.org/details/ROU (last visited Apr. 19, 2023).</w:t>
      </w:r>
      <w:r>
        <w:fldChar w:fldCharType="end"/>
      </w:r>
    </w:p>
  </w:footnote>
  <w:footnote w:id="259">
    <w:p w14:paraId="32C46222" w14:textId="77777777" w:rsidR="004D36A0" w:rsidRPr="00D9742C" w:rsidRDefault="004D36A0" w:rsidP="004D36A0">
      <w:pPr>
        <w:pStyle w:val="FootnoteText"/>
      </w:pPr>
      <w:r>
        <w:rPr>
          <w:rStyle w:val="FootnoteReference"/>
        </w:rPr>
        <w:footnoteRef/>
      </w:r>
      <w:r>
        <w:t xml:space="preserve"> </w:t>
      </w:r>
      <w:r w:rsidRPr="00D9742C">
        <w:t xml:space="preserve">Chris Harris, Female soldiers get bulletproof vests adapted for their different shape, </w:t>
      </w:r>
      <w:r w:rsidRPr="00D9742C">
        <w:rPr>
          <w:smallCaps/>
        </w:rPr>
        <w:t>Euronews</w:t>
      </w:r>
      <w:r w:rsidRPr="00D9742C">
        <w:t xml:space="preserve"> October 2, 2017, https://www.euronews.com/2017/10/03/romania-shows-off-its-bulletproof-vests-specially-adapted-for-women</w:t>
      </w:r>
      <w:r w:rsidRPr="00283EC0">
        <w:rPr>
          <w:noProof/>
        </w:rPr>
        <w:t xml:space="preserve"> (last visited Apr. 19, 2023).</w:t>
      </w:r>
    </w:p>
  </w:footnote>
  <w:footnote w:id="260">
    <w:p w14:paraId="50C94159" w14:textId="77777777"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261">
    <w:p w14:paraId="220BC98E" w14:textId="77777777" w:rsidR="00B43D2C" w:rsidRPr="00010DF7" w:rsidRDefault="00B43D2C" w:rsidP="00B43D2C">
      <w:pPr>
        <w:pStyle w:val="FootnoteText"/>
      </w:pPr>
      <w:r w:rsidRPr="00010DF7">
        <w:t xml:space="preserve"> </w:t>
      </w:r>
      <w:r w:rsidRPr="00010DF7">
        <w:rPr>
          <w:rStyle w:val="FootnoteReference"/>
        </w:rPr>
        <w:footnoteRef/>
      </w:r>
      <w:r w:rsidRPr="00010DF7">
        <w:t xml:space="preserve">Caitlin Biddolph and Laura J. Shepherd, </w:t>
      </w:r>
      <w:r w:rsidRPr="00010DF7">
        <w:rPr>
          <w:i/>
          <w:iCs/>
        </w:rPr>
        <w:t>WPS National Action Plans: Content Analysis and Data Visualisation. Romania</w:t>
      </w:r>
      <w:r w:rsidRPr="00010DF7">
        <w:t xml:space="preserve">, v3, 2022, </w:t>
      </w:r>
      <w:r w:rsidRPr="00010DF7">
        <w:rPr>
          <w:rFonts w:cs="Times New Roman"/>
          <w:smallCaps/>
          <w:lang w:val="en-GB"/>
        </w:rPr>
        <w:t>LSE - Women, Peace Security</w:t>
      </w:r>
      <w:r w:rsidRPr="00010DF7">
        <w:t>, https://www.wpsnaps.org/nap/romanian-national-action-plan/ (last visited Apr. 18, 2023).</w:t>
      </w:r>
    </w:p>
  </w:footnote>
  <w:footnote w:id="262">
    <w:p w14:paraId="42C57947" w14:textId="7C9298C5" w:rsidR="00087036" w:rsidRPr="00010DF7" w:rsidRDefault="00087036">
      <w:pPr>
        <w:pStyle w:val="FootnoteText"/>
      </w:pPr>
      <w:r w:rsidRPr="00010DF7">
        <w:rPr>
          <w:rStyle w:val="FootnoteReference"/>
        </w:rPr>
        <w:footnoteRef/>
      </w:r>
      <w:r w:rsidRPr="00010DF7">
        <w:t xml:space="preserve"> </w:t>
      </w:r>
      <w:r w:rsidRPr="00010DF7">
        <w:rPr>
          <w:i/>
          <w:iCs/>
        </w:rPr>
        <w:t>Ministry of National Defense plan for the implementation of the "Women, Peace and Security" UN Security Council Resolution 1325 (UNSCR 1325) and of the related resolutions as well as of the complementary documents approved by various international organizations of which Romania is a member - 2014-2024</w:t>
      </w:r>
      <w:r w:rsidRPr="00010DF7">
        <w:t>,</w:t>
      </w:r>
      <w:r w:rsidR="00645AF0" w:rsidRPr="00010DF7">
        <w:t xml:space="preserve"> Unofficial translation, funded by ARC DP160100212 (</w:t>
      </w:r>
      <w:r w:rsidR="00645AF0" w:rsidRPr="00010DF7">
        <w:rPr>
          <w:smallCaps/>
        </w:rPr>
        <w:t>CI Shepherd</w:t>
      </w:r>
      <w:r w:rsidR="00645AF0" w:rsidRPr="00010DF7">
        <w:t>),</w:t>
      </w:r>
      <w:r w:rsidR="002B4B9C" w:rsidRPr="00010DF7">
        <w:t xml:space="preserve"> </w:t>
      </w:r>
      <w:r w:rsidR="002B4B9C" w:rsidRPr="00010DF7">
        <w:rPr>
          <w:rFonts w:cs="Times New Roman"/>
          <w:smallCaps/>
          <w:lang w:val="en-GB"/>
        </w:rPr>
        <w:t>LSE - Women, Peace Security,</w:t>
      </w:r>
      <w:r w:rsidRPr="00010DF7">
        <w:t xml:space="preserve"> </w:t>
      </w:r>
      <w:r w:rsidRPr="00BE592D">
        <w:t>https://www.wpsnaps.org/app/uploads/2019/09/Romania-NAP-2014-2024-English-translation-DP160100212.pdf</w:t>
      </w:r>
      <w:r w:rsidRPr="00010DF7">
        <w:t xml:space="preserve">. </w:t>
      </w:r>
    </w:p>
  </w:footnote>
  <w:footnote w:id="263">
    <w:p w14:paraId="72A2FD71" w14:textId="7CCD942F" w:rsidR="00BE592D" w:rsidRPr="00BE592D" w:rsidRDefault="00BE592D">
      <w:pPr>
        <w:pStyle w:val="FootnoteText"/>
        <w:rPr>
          <w:lang w:val="en-GB"/>
        </w:rPr>
      </w:pPr>
      <w:r>
        <w:rPr>
          <w:rStyle w:val="FootnoteReference"/>
        </w:rPr>
        <w:footnoteRef/>
      </w:r>
      <w:r>
        <w:t xml:space="preserve"> </w:t>
      </w:r>
      <w:r w:rsidRPr="00BE592D">
        <w:t xml:space="preserve">Country Profiles Russia, </w:t>
      </w:r>
      <w:r w:rsidRPr="00BE592D">
        <w:rPr>
          <w:smallCaps/>
        </w:rPr>
        <w:t>Gender Climate Tracker</w:t>
      </w:r>
      <w:r w:rsidRPr="00BE592D">
        <w:t>, https://genderclimatetracker.org/country-profile/russia</w:t>
      </w:r>
      <w:r>
        <w:t xml:space="preserve"> </w:t>
      </w:r>
      <w:r w:rsidRPr="00010DF7">
        <w:rPr>
          <w:rFonts w:cs="Times New Roman"/>
          <w:lang w:val="en-GB"/>
        </w:rPr>
        <w:t xml:space="preserve">(last visited </w:t>
      </w:r>
      <w:r>
        <w:rPr>
          <w:rFonts w:cs="Times New Roman"/>
          <w:lang w:val="en-GB"/>
        </w:rPr>
        <w:t>Apr. 18</w:t>
      </w:r>
      <w:r w:rsidRPr="00010DF7">
        <w:rPr>
          <w:rFonts w:cs="Times New Roman"/>
          <w:lang w:val="en-GB"/>
        </w:rPr>
        <w:t>, 2023).</w:t>
      </w:r>
    </w:p>
  </w:footnote>
  <w:footnote w:id="264">
    <w:p w14:paraId="108988A7" w14:textId="28279227" w:rsidR="009A5AB3" w:rsidRPr="00010DF7" w:rsidRDefault="009A5AB3" w:rsidP="009A5AB3">
      <w:pPr>
        <w:pStyle w:val="FootnoteText"/>
        <w:rPr>
          <w:i/>
          <w:iCs/>
        </w:rPr>
      </w:pPr>
      <w:r w:rsidRPr="00010DF7">
        <w:rPr>
          <w:rStyle w:val="FootnoteReference"/>
        </w:rPr>
        <w:footnoteRef/>
      </w:r>
      <w:r w:rsidRPr="00010DF7">
        <w:t xml:space="preserve"> CEDAW, </w:t>
      </w:r>
      <w:r w:rsidRPr="00010DF7">
        <w:rPr>
          <w:i/>
          <w:iCs/>
        </w:rPr>
        <w:t xml:space="preserve">Concluding observations on the ninth periodic report of the Russian Federation*, </w:t>
      </w:r>
      <w:r w:rsidRPr="00010DF7">
        <w:t xml:space="preserve">C/RUS/CO/9 (2021), paras. 20, </w:t>
      </w:r>
      <w:r w:rsidR="00B43325">
        <w:t>30</w:t>
      </w:r>
      <w:r w:rsidR="0045145F">
        <w:t>-31</w:t>
      </w:r>
      <w:r w:rsidRPr="00010DF7">
        <w:t>.</w:t>
      </w:r>
    </w:p>
  </w:footnote>
  <w:footnote w:id="265">
    <w:p w14:paraId="29B6DED2" w14:textId="51FC9799" w:rsidR="007B26D7" w:rsidRPr="00010DF7" w:rsidRDefault="007B26D7">
      <w:pPr>
        <w:pStyle w:val="FootnoteText"/>
      </w:pPr>
      <w:r w:rsidRPr="00010DF7">
        <w:rPr>
          <w:rStyle w:val="FootnoteReference"/>
        </w:rPr>
        <w:footnoteRef/>
      </w:r>
      <w:r w:rsidRPr="00010DF7">
        <w:t xml:space="preserve"> </w:t>
      </w:r>
      <w:r w:rsidR="00010DF7" w:rsidRPr="00010DF7">
        <w:t xml:space="preserve">Mary Chesnut, </w:t>
      </w:r>
      <w:r w:rsidR="00010DF7" w:rsidRPr="00010DF7">
        <w:rPr>
          <w:i/>
          <w:iCs/>
        </w:rPr>
        <w:t>Women in the Russian Military</w:t>
      </w:r>
      <w:r w:rsidR="00010DF7" w:rsidRPr="00010DF7">
        <w:t xml:space="preserve">, </w:t>
      </w:r>
      <w:r w:rsidR="00010DF7" w:rsidRPr="00010DF7">
        <w:rPr>
          <w:smallCaps/>
        </w:rPr>
        <w:t xml:space="preserve">Center for Strategic and International Studies </w:t>
      </w:r>
      <w:r w:rsidR="00010DF7" w:rsidRPr="00010DF7">
        <w:t xml:space="preserve">(2020), https://www.csis.org/blogs/post-soviet-post/women-russian-military. </w:t>
      </w:r>
    </w:p>
  </w:footnote>
  <w:footnote w:id="266">
    <w:p w14:paraId="2976BA79" w14:textId="77777777" w:rsidR="005B3E7C" w:rsidRPr="00010DF7" w:rsidRDefault="005B3E7C" w:rsidP="005B3E7C">
      <w:pPr>
        <w:pStyle w:val="FootnoteText"/>
      </w:pPr>
      <w:r w:rsidRPr="00010DF7">
        <w:rPr>
          <w:rStyle w:val="FootnoteReference"/>
        </w:rPr>
        <w:footnoteRef/>
      </w:r>
      <w:r w:rsidRPr="00010DF7">
        <w:t xml:space="preserve"> Mary Chesnut, </w:t>
      </w:r>
      <w:r w:rsidRPr="00010DF7">
        <w:rPr>
          <w:i/>
          <w:iCs/>
        </w:rPr>
        <w:t>Women in the Russian Military</w:t>
      </w:r>
      <w:r w:rsidRPr="00010DF7">
        <w:t xml:space="preserve">, </w:t>
      </w:r>
      <w:r w:rsidRPr="00010DF7">
        <w:rPr>
          <w:smallCaps/>
        </w:rPr>
        <w:t xml:space="preserve">Center for Strategic and International Studies </w:t>
      </w:r>
      <w:r w:rsidRPr="00010DF7">
        <w:t xml:space="preserve">(2020), https://www.csis.org/blogs/post-soviet-post/women-russian-military. </w:t>
      </w:r>
    </w:p>
  </w:footnote>
  <w:footnote w:id="267">
    <w:p w14:paraId="5A4490CF" w14:textId="77777777"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268">
    <w:p w14:paraId="3128746B" w14:textId="77777777" w:rsidR="006E5310" w:rsidRPr="00010DF7" w:rsidRDefault="006E5310" w:rsidP="006E531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269">
    <w:p w14:paraId="5E4D8831" w14:textId="77777777" w:rsidR="00BD2B2E" w:rsidRPr="00010DF7" w:rsidRDefault="00BD2B2E" w:rsidP="00BD2B2E">
      <w:pPr>
        <w:pStyle w:val="FootnoteText"/>
      </w:pPr>
      <w:r w:rsidRPr="00010DF7">
        <w:rPr>
          <w:rStyle w:val="FootnoteReference"/>
        </w:rPr>
        <w:footnoteRef/>
      </w:r>
      <w:r w:rsidRPr="00010DF7">
        <w:t xml:space="preserve"> CEDAW, Concluding observations on the fourth periodic report of Serbia *, C/SRB/CO/4 (2019), para. 28.</w:t>
      </w:r>
    </w:p>
  </w:footnote>
  <w:footnote w:id="270">
    <w:p w14:paraId="638D0B6D" w14:textId="77777777" w:rsidR="00BD2B2E" w:rsidRPr="00010DF7" w:rsidRDefault="00BD2B2E" w:rsidP="00BD2B2E">
      <w:pPr>
        <w:pStyle w:val="FootnoteText"/>
      </w:pPr>
      <w:r w:rsidRPr="00010DF7">
        <w:rPr>
          <w:rStyle w:val="FootnoteReference"/>
        </w:rPr>
        <w:footnoteRef/>
      </w:r>
      <w:r w:rsidRPr="00010DF7">
        <w:t xml:space="preserve"> CEDAW, Concluding observations on the fourth periodic report of Serbia *, C/SRB/CO/4 (2019), para. 28.</w:t>
      </w:r>
    </w:p>
  </w:footnote>
  <w:footnote w:id="271">
    <w:p w14:paraId="4E7A47E7" w14:textId="77777777"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272">
    <w:p w14:paraId="62E03B69" w14:textId="77777777" w:rsidR="00081366" w:rsidRPr="00010DF7" w:rsidRDefault="00081366" w:rsidP="00081366">
      <w:pPr>
        <w:pStyle w:val="FootnoteText"/>
      </w:pPr>
      <w:r w:rsidRPr="00010DF7">
        <w:t xml:space="preserve"> </w:t>
      </w:r>
      <w:r w:rsidRPr="00010DF7">
        <w:rPr>
          <w:rStyle w:val="FootnoteReference"/>
        </w:rPr>
        <w:footnoteRef/>
      </w:r>
      <w:r w:rsidRPr="00010DF7">
        <w:t xml:space="preserve">Caitlin Biddolph and Laura J. Shepherd, </w:t>
      </w:r>
      <w:r w:rsidRPr="00010DF7">
        <w:rPr>
          <w:i/>
          <w:iCs/>
        </w:rPr>
        <w:t>WPS National Action Plans: Content Analysis and Data Visualisation. Romania</w:t>
      </w:r>
      <w:r w:rsidRPr="00010DF7">
        <w:t xml:space="preserve">, v3, 2022, </w:t>
      </w:r>
      <w:r w:rsidRPr="00010DF7">
        <w:rPr>
          <w:rFonts w:cs="Times New Roman"/>
          <w:smallCaps/>
          <w:lang w:val="en-GB"/>
        </w:rPr>
        <w:t>LSE - Women, Peace Security</w:t>
      </w:r>
      <w:r w:rsidRPr="00010DF7">
        <w:t>, https://www.wpsnaps.org/nap/romanian-national-action-plan/ (last visited Apr. 18, 2023).</w:t>
      </w:r>
    </w:p>
  </w:footnote>
  <w:footnote w:id="273">
    <w:p w14:paraId="7E29AC7A" w14:textId="1D31E309" w:rsidR="00B4327F" w:rsidRPr="00010DF7" w:rsidRDefault="00B4327F">
      <w:pPr>
        <w:pStyle w:val="FootnoteText"/>
      </w:pPr>
      <w:r w:rsidRPr="00010DF7">
        <w:rPr>
          <w:rStyle w:val="FootnoteReference"/>
        </w:rPr>
        <w:footnoteRef/>
      </w:r>
      <w:r w:rsidRPr="00010DF7">
        <w:t xml:space="preserve"> National Action Plan for the Implementation of UN Security Council Resolution 1325 – Women, Peace and Security in the Republic of Serbia (2017–2020), </w:t>
      </w:r>
      <w:r w:rsidRPr="00010DF7">
        <w:rPr>
          <w:rFonts w:cs="Times New Roman"/>
          <w:smallCaps/>
          <w:lang w:val="en-GB"/>
        </w:rPr>
        <w:t>LSE - Women, Peace Security</w:t>
      </w:r>
      <w:r w:rsidRPr="00010DF7">
        <w:t>, https://www.wpsnaps.org/app/uploads/2019/09/Serbia-NAP-2-2017.pdf.</w:t>
      </w:r>
    </w:p>
  </w:footnote>
  <w:footnote w:id="274">
    <w:p w14:paraId="4C846DDD" w14:textId="424C65F4" w:rsidR="004116DF" w:rsidRPr="00010DF7" w:rsidRDefault="004116DF" w:rsidP="003168F8">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{"citationID":"UfAg1q7g","properties":{"formattedCitation":"Ivana Uli\\uc0\\u269{}n\\uc0\\u225{}, {\\i{}Shifting the gender quota debate from underrepresentation of women to overrepresentation of men within diplomacy}, {\\scaps Slovak Foreign Policy Association}, https://www.sfpa.sk/en/publication/shifting-the-gender-quota-debate-from-underrepresentation-of-women-to-overrepresentation-of-men-within-diplomacy/ (last visited Feb 20, 2023).","plainCitation":"Ivana Uličná, Shifting the gender quota debate from underrepresentation of women to overrepresentation of men within diplomacy, Slovak Foreign Policy Association, https://www.sfpa.sk/en/publication/shifting-the-gender-quota-debate-from-underrepresentation-of-women-to-overrepresentation-of-men-within-diplomacy/ (last visited Feb 20, 2023).","dontUpdate":true,"noteIndex":193},"citationItems":[{"id":729,"uris":["http://zotero.org/users/10345638/items/PY32X3WI"],"itemData":{"id":729,"type":"post-weblog","abstract":"This policy paper was produced within the Think Visegrad in Brussels Fellowship programme.","container-title":"Slovak Foreign Policy Association","title":"Shifting the gender quota debate from underrepresentation of women to overrepresentation of men within diplomacy","URL":"https://www.sfpa.sk/en/publication/shifting-the-gender-quota-debate-from-underrepresentation-of-women-to-overrepresentation-of-men-within-diplomacy/","author":[{"family":"Uličná","given":"Ivana"}],"accessed":{"date-parts":[["2023",2,20]]}}}],"schema":"https://github.com/citation-style-language/schema/raw/master/csl-citation.json"} </w:instrText>
      </w:r>
      <w:r w:rsidRPr="00010DF7">
        <w:fldChar w:fldCharType="separate"/>
      </w:r>
      <w:r w:rsidRPr="00010DF7">
        <w:rPr>
          <w:rFonts w:cs="Times New Roman"/>
          <w:lang w:val="en-GB"/>
        </w:rPr>
        <w:t xml:space="preserve">Ivana Uličná, </w:t>
      </w:r>
      <w:r w:rsidRPr="00010DF7">
        <w:rPr>
          <w:rFonts w:cs="Times New Roman"/>
          <w:i/>
          <w:iCs/>
          <w:lang w:val="en-GB"/>
        </w:rPr>
        <w:t xml:space="preserve">Shifting the gender quota debate from underrepresentation of women to overrepresentation of men within diplomacy </w:t>
      </w:r>
      <w:r w:rsidRPr="00010DF7">
        <w:rPr>
          <w:rFonts w:cs="Times New Roman"/>
          <w:lang w:val="en-GB"/>
        </w:rPr>
        <w:t xml:space="preserve">3, </w:t>
      </w:r>
      <w:r w:rsidRPr="00010DF7">
        <w:rPr>
          <w:rFonts w:cs="Times New Roman"/>
          <w:smallCaps/>
          <w:lang w:val="en-GB"/>
        </w:rPr>
        <w:t>Slovak Foreign Policy Association</w:t>
      </w:r>
      <w:r w:rsidRPr="00010DF7">
        <w:rPr>
          <w:rFonts w:cs="Times New Roman"/>
          <w:lang w:val="en-GB"/>
        </w:rPr>
        <w:t>, https://www.sfpa.sk/en/publication/shifting-the-gender-quota-debate-from-underrepresentation-of-women-to-overrepresentation-of-men-within-diplomacy/ (last visited Feb 20, 2023).</w:t>
      </w:r>
      <w:r w:rsidRPr="00010DF7">
        <w:fldChar w:fldCharType="end"/>
      </w:r>
    </w:p>
  </w:footnote>
  <w:footnote w:id="275">
    <w:p w14:paraId="3D0B6907" w14:textId="77777777" w:rsidR="00C44337" w:rsidRPr="00C96364" w:rsidRDefault="00C44337" w:rsidP="00C44337">
      <w:pPr>
        <w:pStyle w:val="FootnoteText"/>
      </w:pPr>
      <w:r w:rsidRPr="00010DF7">
        <w:rPr>
          <w:rStyle w:val="FootnoteReference"/>
        </w:rPr>
        <w:footnoteRef/>
      </w:r>
      <w:r w:rsidRPr="00010DF7">
        <w:t xml:space="preserve"> CEDAW, </w:t>
      </w:r>
      <w:r w:rsidRPr="00010DF7">
        <w:rPr>
          <w:i/>
          <w:iCs/>
        </w:rPr>
        <w:t>Concluding observations on the combined fifth and sixth periodic reports of Slovakia</w:t>
      </w:r>
      <w:r w:rsidRPr="00010DF7">
        <w:t>, C/SVK/CO/5-6 (2015), paras. 24-25.</w:t>
      </w:r>
    </w:p>
  </w:footnote>
  <w:footnote w:id="276">
    <w:p w14:paraId="13E14CD2" w14:textId="77777777" w:rsidR="00ED41CD" w:rsidRPr="00010DF7" w:rsidRDefault="00ED41CD" w:rsidP="00ED41CD">
      <w:pPr>
        <w:pStyle w:val="FootnoteText"/>
      </w:pPr>
      <w:r w:rsidRPr="00010DF7">
        <w:rPr>
          <w:rStyle w:val="FootnoteReference"/>
        </w:rPr>
        <w:footnoteRef/>
      </w:r>
      <w:r w:rsidRPr="00010DF7">
        <w:t xml:space="preserve"> </w:t>
      </w:r>
      <w:r w:rsidRPr="00010DF7">
        <w:fldChar w:fldCharType="begin"/>
      </w:r>
      <w:r w:rsidRPr="00010DF7">
        <w:instrText xml:space="preserve"> ADDIN ZOTERO_ITEM CSL_CITATION {"citationID":"ASvbVtAB","properties":{"formattedCitation":"Hungary - Women, Peace, Security, https://www.globalwps.org/details/HUN (last visited Mar 13, 2023).","plainCitation":"Hungary - Women, Peace, Security, https://www.globalwps.org/details/HUN (last visited Mar 13, 2023).","dontUpdate":true,"noteIndex":2},"citationItems":[{"id":946,"uris":["http://zotero.org/users/10345638/items/EKXJ9478"],"itemData":{"id":946,"type":"webpage","title":"Hungary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Slovakia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https://www.globalwps.org/details/SVK (last visited Apr. 19, 2023).</w:t>
      </w:r>
      <w:r w:rsidRPr="00010DF7">
        <w:fldChar w:fldCharType="end"/>
      </w:r>
    </w:p>
  </w:footnote>
  <w:footnote w:id="277">
    <w:p w14:paraId="6517374B" w14:textId="77777777"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278">
    <w:p w14:paraId="22345E57" w14:textId="073273DC" w:rsidR="00352224" w:rsidRPr="00010DF7" w:rsidRDefault="00352224">
      <w:pPr>
        <w:pStyle w:val="FootnoteText"/>
      </w:pPr>
      <w:r w:rsidRPr="00010DF7">
        <w:rPr>
          <w:rStyle w:val="FootnoteReference"/>
        </w:rPr>
        <w:footnoteRef/>
      </w:r>
      <w:r w:rsidRPr="00010DF7">
        <w:t xml:space="preserve"> </w:t>
      </w:r>
      <w:r w:rsidRPr="00010DF7">
        <w:rPr>
          <w:i/>
          <w:iCs/>
        </w:rPr>
        <w:t>Slovak National Action Plan for the Implementation of UNSCR 1325 on Women, Peace and Security for 2021–2025</w:t>
      </w:r>
      <w:r w:rsidRPr="00010DF7">
        <w:t>, https://www.wpsnaps.org/app/uploads/2021/01/Slovakia-NAP-2021-2025.pdf, (last visited Apr. 18, 2023).</w:t>
      </w:r>
    </w:p>
  </w:footnote>
  <w:footnote w:id="279">
    <w:p w14:paraId="07CED588" w14:textId="77777777" w:rsidR="003A13D5" w:rsidRPr="00010DF7" w:rsidRDefault="003A13D5" w:rsidP="003A13D5">
      <w:pPr>
        <w:pStyle w:val="FootnoteText"/>
      </w:pPr>
      <w:r w:rsidRPr="00010DF7">
        <w:rPr>
          <w:rStyle w:val="FootnoteReference"/>
        </w:rPr>
        <w:footnoteRef/>
      </w:r>
      <w:r w:rsidRPr="00010DF7">
        <w:t xml:space="preserve"> Slovenia</w:t>
      </w:r>
      <w:r w:rsidRPr="00010DF7">
        <w:rPr>
          <w:i/>
          <w:iCs/>
        </w:rPr>
        <w:t>, Seventh periodic report submitted by Slovenia under article 18 of the Convention, due in 2021,</w:t>
      </w:r>
      <w:r w:rsidRPr="00010DF7">
        <w:t xml:space="preserve"> C/SVN/7 (2021), para. 116.</w:t>
      </w:r>
    </w:p>
  </w:footnote>
  <w:footnote w:id="280">
    <w:p w14:paraId="112495D8" w14:textId="77777777" w:rsidR="00C91A40" w:rsidRPr="00010DF7" w:rsidRDefault="00C91A40" w:rsidP="00C91A40">
      <w:pPr>
        <w:pStyle w:val="FootnoteText"/>
      </w:pPr>
      <w:r w:rsidRPr="00010DF7">
        <w:rPr>
          <w:rStyle w:val="FootnoteReference"/>
        </w:rPr>
        <w:footnoteRef/>
      </w:r>
      <w:r w:rsidRPr="00010DF7">
        <w:t xml:space="preserve"> </w:t>
      </w:r>
      <w:r w:rsidRPr="00010DF7">
        <w:fldChar w:fldCharType="begin"/>
      </w:r>
      <w:r w:rsidRPr="00010DF7">
        <w:instrText xml:space="preserve"> ADDIN ZOTERO_ITEM CSL_CITATION {"citationID":"2Wea23NE","properties":{"formattedCitation":"{\\scaps Tanja Koderman Sever}, {\\i{}Slovenia - Country Report Gender Equality 2022}, (2022), https://www.equalitylaw.eu/downloads/5706-slovenia-country-report-gender-equality-2022-870-kb.","plainCitation":"Tanja Koderman Sever, Slovenia - Country Report Gender Equality 2022, (2022), https://www.equalitylaw.eu/downloads/5706-slovenia-country-report-gender-equality-2022-870-kb.","noteIndex":1},"citationItems":[{"id":607,"uris":["http://zotero.org/users/10345638/items/B2IFTBVK"],"itemData":{"id":607,"type":"report","collection-title":"European Equality Law Network","event-place":"Luxembourg: Publications Office of the European Union","publisher":"EU Commission. Directorate-General for Justice and Consumers.","publisher-place":"Luxembourg: Publications Office of the European Union","title":"Slovenia - Country Report Gender Equality 2022","URL":"https://www.equalitylaw.eu/downloads/5706-slovenia-country-report-gender-equality-2022-870-kb","author":[{"family":"Koderman Sever","given":"Tanja"}],"issued":{"date-parts":[["2022"]]}}}],"schema":"https://github.com/citation-style-language/schema/raw/master/csl-citation.json"} </w:instrText>
      </w:r>
      <w:r w:rsidRPr="00010DF7">
        <w:fldChar w:fldCharType="separate"/>
      </w:r>
      <w:r w:rsidRPr="00010DF7">
        <w:rPr>
          <w:rFonts w:cs="Times New Roman"/>
          <w:smallCaps/>
          <w:lang w:val="en-GB"/>
        </w:rPr>
        <w:t>Tanja Koderman Sever</w:t>
      </w:r>
      <w:r w:rsidRPr="00010DF7">
        <w:rPr>
          <w:rFonts w:cs="Times New Roman"/>
          <w:lang w:val="en-GB"/>
        </w:rPr>
        <w:t xml:space="preserve">, </w:t>
      </w:r>
      <w:r w:rsidRPr="00010DF7">
        <w:rPr>
          <w:rFonts w:cs="Times New Roman"/>
          <w:i/>
          <w:iCs/>
          <w:lang w:val="en-GB"/>
        </w:rPr>
        <w:t>Slovenia - Country Report Gender Equality 2022</w:t>
      </w:r>
      <w:r w:rsidRPr="00010DF7">
        <w:rPr>
          <w:rFonts w:cs="Times New Roman"/>
          <w:lang w:val="en-GB"/>
        </w:rPr>
        <w:t>, 12 (2022), https://www.equalitylaw.eu/downloads/5706-slovenia-country-report-gender-equality-2022-870-kb.</w:t>
      </w:r>
      <w:r w:rsidRPr="00010DF7">
        <w:fldChar w:fldCharType="end"/>
      </w:r>
    </w:p>
  </w:footnote>
  <w:footnote w:id="281">
    <w:p w14:paraId="27616E6D" w14:textId="77777777" w:rsidR="00C0726E" w:rsidRPr="00010DF7" w:rsidRDefault="00C0726E" w:rsidP="00C0726E">
      <w:pPr>
        <w:pStyle w:val="FootnoteText"/>
      </w:pPr>
      <w:r w:rsidRPr="00010DF7">
        <w:rPr>
          <w:rStyle w:val="FootnoteReference"/>
        </w:rPr>
        <w:footnoteRef/>
      </w:r>
      <w:r w:rsidRPr="00010DF7">
        <w:t xml:space="preserve"> </w:t>
      </w:r>
      <w:r w:rsidRPr="00010DF7">
        <w:fldChar w:fldCharType="begin"/>
      </w:r>
      <w:r w:rsidRPr="00010DF7">
        <w:instrText xml:space="preserve"> ADDIN ZOTERO_ITEM CSL_CITATION {"citationID":"ASvbVtAB","properties":{"formattedCitation":"Hungary - Women, Peace, Security, https://www.globalwps.org/details/HUN (last visited Mar 13, 2023).","plainCitation":"Hungary - Women, Peace, Security, https://www.globalwps.org/details/HUN (last visited Mar 13, 2023).","noteIndex":105},"citationItems":[{"id":946,"uris":["http://zotero.org/users/10345638/items/EKXJ9478"],"itemData":{"id":946,"type":"webpage","title":"Hungary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Slovenia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https://www.globalwps.org/details/SVN (last visited Apr. 19, 2023).</w:t>
      </w:r>
      <w:r w:rsidRPr="00010DF7">
        <w:fldChar w:fldCharType="end"/>
      </w:r>
    </w:p>
  </w:footnote>
  <w:footnote w:id="282">
    <w:p w14:paraId="5FD6061D" w14:textId="77777777" w:rsidR="00C0726E" w:rsidRPr="00010DF7" w:rsidRDefault="00C0726E" w:rsidP="00C0726E">
      <w:pPr>
        <w:pStyle w:val="FootnoteText"/>
      </w:pPr>
      <w:r w:rsidRPr="00010DF7">
        <w:rPr>
          <w:rStyle w:val="FootnoteReference"/>
        </w:rPr>
        <w:footnoteRef/>
      </w:r>
      <w:r w:rsidRPr="00010DF7">
        <w:t xml:space="preserve"> </w:t>
      </w:r>
      <w:r w:rsidRPr="00010DF7">
        <w:fldChar w:fldCharType="begin"/>
      </w:r>
      <w:r w:rsidRPr="00010DF7">
        <w:instrText xml:space="preserve"> ADDIN ZOTERO_ITEM CSL_CITATION {"citationID":"ASvbVtAB","properties":{"formattedCitation":"Hungary - Women, Peace, Security, https://www.globalwps.org/details/HUN (last visited Mar 13, 2023).","plainCitation":"Hungary - Women, Peace, Security, https://www.globalwps.org/details/HUN (last visited Mar 13, 2023).","noteIndex":105},"citationItems":[{"id":946,"uris":["http://zotero.org/users/10345638/items/EKXJ9478"],"itemData":{"id":946,"type":"webpage","title":"Hungary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Slovenia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https://www.globalwps.org/details/SVN (last visited Apr. 19, 2023).</w:t>
      </w:r>
      <w:r w:rsidRPr="00010DF7">
        <w:fldChar w:fldCharType="end"/>
      </w:r>
    </w:p>
  </w:footnote>
  <w:footnote w:id="283">
    <w:p w14:paraId="3B1681BF" w14:textId="77777777" w:rsidR="006F56F4" w:rsidRPr="00010DF7" w:rsidRDefault="006F56F4" w:rsidP="006F56F4">
      <w:pPr>
        <w:pStyle w:val="FootnoteText"/>
      </w:pPr>
      <w:r w:rsidRPr="00010DF7">
        <w:rPr>
          <w:rStyle w:val="FootnoteReference"/>
        </w:rPr>
        <w:footnoteRef/>
      </w:r>
      <w:r w:rsidRPr="00010DF7">
        <w:t xml:space="preserve"> </w:t>
      </w:r>
      <w:r w:rsidRPr="00010DF7">
        <w:rPr>
          <w:i/>
          <w:iCs/>
        </w:rPr>
        <w:t>Action Plan of the Republic of Slovenia for the Implementation of the UN Security Council Resolutions on Women, Peace and Security for the 2018-2020</w:t>
      </w:r>
      <w:r w:rsidRPr="00010DF7">
        <w:t xml:space="preserve">, 4, </w:t>
      </w:r>
      <w:r w:rsidRPr="00010DF7">
        <w:rPr>
          <w:rFonts w:cs="Times New Roman"/>
          <w:smallCaps/>
          <w:lang w:val="en-GB"/>
        </w:rPr>
        <w:t>Women’s International League for Peace and Freedom - 1325 NAPs Project</w:t>
      </w:r>
      <w:r w:rsidRPr="00010DF7">
        <w:rPr>
          <w:rFonts w:cs="Times New Roman"/>
          <w:lang w:val="en-GB"/>
        </w:rPr>
        <w:t xml:space="preserve">, </w:t>
      </w:r>
      <w:r w:rsidRPr="00010DF7">
        <w:t>Unofficial trans., funded by ARC DP160100212 (CI Shepherd), 2021, wpsnaps.org/app/uploads/2019/09/Slovenia-NAP-2-2018-2020-English-translation-DP160100212.pdf.</w:t>
      </w:r>
    </w:p>
  </w:footnote>
  <w:footnote w:id="284">
    <w:p w14:paraId="427D8546" w14:textId="77777777" w:rsidR="003A13D5" w:rsidRPr="00010DF7" w:rsidRDefault="003A13D5" w:rsidP="003A13D5">
      <w:pPr>
        <w:pStyle w:val="FootnoteText"/>
      </w:pPr>
      <w:r w:rsidRPr="00010DF7">
        <w:rPr>
          <w:rStyle w:val="FootnoteReference"/>
        </w:rPr>
        <w:footnoteRef/>
      </w:r>
      <w:r w:rsidRPr="00010DF7">
        <w:t xml:space="preserve"> Slovenia</w:t>
      </w:r>
      <w:r w:rsidRPr="00010DF7">
        <w:rPr>
          <w:i/>
          <w:iCs/>
        </w:rPr>
        <w:t>, Seventh periodic report submitted by Slovenia under article 18 of the Convention, due in 2021,</w:t>
      </w:r>
      <w:r w:rsidRPr="00010DF7">
        <w:t xml:space="preserve"> C/SVN/7 (2021), para. 116.</w:t>
      </w:r>
    </w:p>
  </w:footnote>
  <w:footnote w:id="285">
    <w:p w14:paraId="13C1B424" w14:textId="77777777"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286">
    <w:p w14:paraId="71EF0E5B" w14:textId="77777777" w:rsidR="009D795E" w:rsidRPr="00010DF7" w:rsidRDefault="009D795E" w:rsidP="009D795E">
      <w:pPr>
        <w:pStyle w:val="FootnoteText"/>
      </w:pPr>
      <w:r w:rsidRPr="00010DF7">
        <w:t xml:space="preserve"> </w:t>
      </w:r>
      <w:r w:rsidRPr="00010DF7">
        <w:rPr>
          <w:rStyle w:val="FootnoteReference"/>
        </w:rPr>
        <w:footnoteRef/>
      </w:r>
      <w:r w:rsidRPr="00010DF7">
        <w:t xml:space="preserve">Caitlin Biddolph and Laura J. Shepherd, </w:t>
      </w:r>
      <w:r w:rsidRPr="00010DF7">
        <w:rPr>
          <w:i/>
          <w:iCs/>
        </w:rPr>
        <w:t>WPS National Action Plans: Content Analysis and Data Visualisation. Slovenia</w:t>
      </w:r>
      <w:r w:rsidRPr="00010DF7">
        <w:t xml:space="preserve">, v3, 2022, </w:t>
      </w:r>
      <w:r w:rsidRPr="00010DF7">
        <w:rPr>
          <w:rFonts w:cs="Times New Roman"/>
          <w:smallCaps/>
          <w:lang w:val="en-GB"/>
        </w:rPr>
        <w:t>LSE - Women, Peace Security</w:t>
      </w:r>
      <w:r w:rsidRPr="00010DF7">
        <w:t>, https://www.wpsnaps.org/nap/slovenian-national-action-plan-ii/ (last visited Apr. 18, 2023).</w:t>
      </w:r>
    </w:p>
  </w:footnote>
  <w:footnote w:id="287">
    <w:p w14:paraId="757327D4" w14:textId="77777777" w:rsidR="007A57DB" w:rsidRPr="00010DF7" w:rsidRDefault="007A57DB" w:rsidP="007A57DB">
      <w:pPr>
        <w:pStyle w:val="FootnoteText"/>
      </w:pPr>
      <w:r w:rsidRPr="00010DF7">
        <w:rPr>
          <w:rStyle w:val="FootnoteReference"/>
        </w:rPr>
        <w:footnoteRef/>
      </w:r>
      <w:r w:rsidRPr="00010DF7">
        <w:t xml:space="preserve"> </w:t>
      </w:r>
      <w:r w:rsidRPr="00010DF7">
        <w:rPr>
          <w:i/>
          <w:iCs/>
        </w:rPr>
        <w:t>Action Plan of the Republic of Slovenia for the Implementation of the UN Security Council Resolutions on Women, Peace and Security for the 2018-2020</w:t>
      </w:r>
      <w:r w:rsidRPr="00010DF7">
        <w:t xml:space="preserve">, 4, </w:t>
      </w:r>
      <w:r w:rsidRPr="00010DF7">
        <w:rPr>
          <w:rFonts w:cs="Times New Roman"/>
          <w:smallCaps/>
          <w:lang w:val="en-GB"/>
        </w:rPr>
        <w:t>Women’s International League for Peace and Freedom - 1325 NAPs Project</w:t>
      </w:r>
      <w:r w:rsidRPr="00010DF7">
        <w:rPr>
          <w:rFonts w:cs="Times New Roman"/>
          <w:lang w:val="en-GB"/>
        </w:rPr>
        <w:t xml:space="preserve">, </w:t>
      </w:r>
      <w:r w:rsidRPr="00010DF7">
        <w:t>Unofficial trans., funded by ARC DP160100212 (CI Shepherd), 2021, wpsnaps.org/app/uploads/2019/09/Slovenia-NAP-2-2018-2020-English-translation-DP160100212.pdf.</w:t>
      </w:r>
    </w:p>
  </w:footnote>
  <w:footnote w:id="288">
    <w:p w14:paraId="419B9D39" w14:textId="77777777" w:rsidR="00D24000" w:rsidRPr="00010DF7" w:rsidRDefault="00D24000" w:rsidP="00D24000">
      <w:pPr>
        <w:pStyle w:val="FootnoteText"/>
      </w:pPr>
      <w:r w:rsidRPr="00010DF7">
        <w:rPr>
          <w:rStyle w:val="FootnoteReference"/>
        </w:rPr>
        <w:footnoteRef/>
      </w:r>
      <w:r w:rsidRPr="00010DF7">
        <w:t xml:space="preserve"> CEDAW, </w:t>
      </w:r>
      <w:r w:rsidRPr="00010DF7">
        <w:rPr>
          <w:i/>
          <w:iCs/>
        </w:rPr>
        <w:t>Concluding observations on the combined seventh and eighth periodic reports of Spain*,</w:t>
      </w:r>
      <w:r w:rsidRPr="00010DF7">
        <w:t xml:space="preserve"> C/ESP/CO/7-8 (2015), paras. 24-25.</w:t>
      </w:r>
    </w:p>
  </w:footnote>
  <w:footnote w:id="289">
    <w:p w14:paraId="5120D3B7" w14:textId="7679A32D" w:rsidR="0019436E" w:rsidRPr="00010DF7" w:rsidRDefault="0019436E">
      <w:pPr>
        <w:pStyle w:val="FootnoteText"/>
      </w:pPr>
      <w:r w:rsidRPr="00010DF7">
        <w:rPr>
          <w:rStyle w:val="FootnoteReference"/>
        </w:rPr>
        <w:footnoteRef/>
      </w:r>
      <w:r w:rsidRPr="00010DF7">
        <w:t xml:space="preserve"> </w:t>
      </w:r>
      <w:r w:rsidR="00A95884" w:rsidRPr="00010DF7">
        <w:t xml:space="preserve">Spanish Government and Ministry of Foreign Affairs, European Affairs, and Cooperation, </w:t>
      </w:r>
      <w:r w:rsidR="00A95884" w:rsidRPr="00010DF7">
        <w:rPr>
          <w:i/>
          <w:iCs/>
        </w:rPr>
        <w:t>Spain's Feminist Foreign Policy - Promoting Gender Equality in Spain’s External Action</w:t>
      </w:r>
      <w:r w:rsidR="00A95884" w:rsidRPr="00010DF7">
        <w:t xml:space="preserve">, 2021, https://www.exteriores.gob.es/es/ServiciosAlCiudadano/PublicacionesOficiales/2021_02_POLITICA%20EXTERIOR%20FEMINISTA_ENG.pdf </w:t>
      </w:r>
      <w:r w:rsidR="00A95884" w:rsidRPr="00010DF7">
        <w:rPr>
          <w:rFonts w:cs="Times New Roman"/>
          <w:lang w:val="en-GB"/>
        </w:rPr>
        <w:t>(last visited Apr. 19, 2023).</w:t>
      </w:r>
    </w:p>
  </w:footnote>
  <w:footnote w:id="290">
    <w:p w14:paraId="050E2BEE" w14:textId="77777777" w:rsidR="007A75D8" w:rsidRPr="00010DF7" w:rsidRDefault="007A75D8" w:rsidP="007A75D8">
      <w:pPr>
        <w:pStyle w:val="FootnoteText"/>
      </w:pPr>
      <w:r w:rsidRPr="00010DF7">
        <w:rPr>
          <w:rStyle w:val="FootnoteReference"/>
        </w:rPr>
        <w:footnoteRef/>
      </w:r>
      <w:r w:rsidRPr="00010DF7">
        <w:t xml:space="preserve"> </w:t>
      </w:r>
      <w:r w:rsidRPr="00010DF7">
        <w:fldChar w:fldCharType="begin"/>
      </w:r>
      <w:r w:rsidRPr="00010DF7">
        <w:instrText xml:space="preserve"> ADDIN ZOTERO_ITEM CSL_CITATION {"citationID":"ASvbVtAB","properties":{"formattedCitation":"Hungary - Women, Peace, Security, https://www.globalwps.org/details/HUN (last visited Mar 13, 2023).","plainCitation":"Hungary - Women, Peace, Security, https://www.globalwps.org/details/HUN (last visited Mar 13, 2023).","noteIndex":105},"citationItems":[{"id":946,"uris":["http://zotero.org/users/10345638/items/EKXJ9478"],"itemData":{"id":946,"type":"webpage","title":"Hungary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Spain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globalwps.org/details/ESP (last visited Apr. 19, 2023).</w:t>
      </w:r>
      <w:r w:rsidRPr="00010DF7">
        <w:fldChar w:fldCharType="end"/>
      </w:r>
    </w:p>
  </w:footnote>
  <w:footnote w:id="291">
    <w:p w14:paraId="6FE914A5" w14:textId="77777777"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292">
    <w:p w14:paraId="644E0194" w14:textId="77777777" w:rsidR="00DC3544" w:rsidRPr="00453A05" w:rsidRDefault="00DC3544" w:rsidP="00DC3544">
      <w:pPr>
        <w:pStyle w:val="FootnoteText"/>
      </w:pPr>
      <w:r>
        <w:t xml:space="preserve"> </w:t>
      </w:r>
      <w:r>
        <w:rPr>
          <w:rStyle w:val="FootnoteReference"/>
        </w:rPr>
        <w:footnoteRef/>
      </w:r>
      <w:r w:rsidRPr="00687CE0">
        <w:t>Caitlin</w:t>
      </w:r>
      <w:r>
        <w:t xml:space="preserve"> </w:t>
      </w:r>
      <w:r w:rsidRPr="00687CE0">
        <w:t>Biddolph and Laura J. Shepherd</w:t>
      </w:r>
      <w:r>
        <w:t xml:space="preserve">, </w:t>
      </w:r>
      <w:r w:rsidRPr="0010632A">
        <w:rPr>
          <w:i/>
          <w:iCs/>
        </w:rPr>
        <w:t>WPS National Action Plans: Content Analysis and Data Visualisation</w:t>
      </w:r>
      <w:r>
        <w:rPr>
          <w:i/>
          <w:iCs/>
        </w:rPr>
        <w:t>. Spain</w:t>
      </w:r>
      <w:r w:rsidRPr="00687CE0">
        <w:t>, v3</w:t>
      </w:r>
      <w:r>
        <w:t xml:space="preserve">, 2022, </w:t>
      </w:r>
      <w:r w:rsidRPr="00497D8D">
        <w:rPr>
          <w:rFonts w:cs="Times New Roman"/>
          <w:smallCaps/>
          <w:lang w:val="en-GB"/>
        </w:rPr>
        <w:t>LSE - Women, Peace Security</w:t>
      </w:r>
      <w:r>
        <w:t xml:space="preserve">, </w:t>
      </w:r>
      <w:r w:rsidRPr="0046393F">
        <w:t xml:space="preserve">https://www.wpsnaps.org/nap/spanish-national-action-plan-ii/ </w:t>
      </w:r>
      <w:r>
        <w:t>(last visited Apr. 18, 2023).</w:t>
      </w:r>
    </w:p>
  </w:footnote>
  <w:footnote w:id="293">
    <w:p w14:paraId="6DD75264" w14:textId="77777777"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294">
    <w:p w14:paraId="0362F7ED" w14:textId="77777777" w:rsidR="008B480B" w:rsidRPr="00453A05" w:rsidRDefault="008B480B" w:rsidP="008B480B">
      <w:pPr>
        <w:pStyle w:val="FootnoteText"/>
      </w:pPr>
      <w:r>
        <w:t xml:space="preserve"> </w:t>
      </w:r>
      <w:r>
        <w:rPr>
          <w:rStyle w:val="FootnoteReference"/>
        </w:rPr>
        <w:footnoteRef/>
      </w:r>
      <w:r w:rsidRPr="00687CE0">
        <w:t>Caitlin</w:t>
      </w:r>
      <w:r>
        <w:t xml:space="preserve"> </w:t>
      </w:r>
      <w:r w:rsidRPr="00687CE0">
        <w:t>Biddolph and Laura J. Shepherd</w:t>
      </w:r>
      <w:r>
        <w:t xml:space="preserve">, </w:t>
      </w:r>
      <w:r w:rsidRPr="0010632A">
        <w:rPr>
          <w:i/>
          <w:iCs/>
        </w:rPr>
        <w:t>WPS National Action Plans: Content Analysis and Data Visualisation</w:t>
      </w:r>
      <w:r>
        <w:rPr>
          <w:i/>
          <w:iCs/>
        </w:rPr>
        <w:t>. Sweden</w:t>
      </w:r>
      <w:r w:rsidRPr="00687CE0">
        <w:t>, v3</w:t>
      </w:r>
      <w:r>
        <w:t xml:space="preserve">, 2022, </w:t>
      </w:r>
      <w:r w:rsidRPr="00497D8D">
        <w:rPr>
          <w:rFonts w:cs="Times New Roman"/>
          <w:smallCaps/>
          <w:lang w:val="en-GB"/>
        </w:rPr>
        <w:t>LSE - Women, Peace Security</w:t>
      </w:r>
      <w:r>
        <w:t xml:space="preserve">, </w:t>
      </w:r>
      <w:r w:rsidRPr="0046393F">
        <w:t xml:space="preserve">https://www.wpsnaps.org/nap/swedish-national-action-plan-iii/ </w:t>
      </w:r>
      <w:r>
        <w:t>(last visited Apr. 18, 2023).</w:t>
      </w:r>
    </w:p>
  </w:footnote>
  <w:footnote w:id="295">
    <w:p w14:paraId="194F603C" w14:textId="11492CA1" w:rsidR="001B2B5E" w:rsidRPr="00010DF7" w:rsidRDefault="001B2B5E">
      <w:pPr>
        <w:pStyle w:val="FootnoteText"/>
      </w:pPr>
      <w:r w:rsidRPr="00010DF7">
        <w:rPr>
          <w:rStyle w:val="FootnoteReference"/>
        </w:rPr>
        <w:footnoteRef/>
      </w:r>
      <w:r w:rsidRPr="00010DF7">
        <w:t xml:space="preserve"> </w:t>
      </w:r>
      <w:r w:rsidR="001C402B" w:rsidRPr="00010DF7">
        <w:rPr>
          <w:i/>
          <w:iCs/>
        </w:rPr>
        <w:t>Switzerland’s information necessary for clarity, transparency and understanding in accordance with decision 1/CP.21 of its updated and enhanced nationally determined contribution (NDC) under the Paris Agreement (2021 – 2030),</w:t>
      </w:r>
      <w:r w:rsidR="001C402B" w:rsidRPr="00010DF7">
        <w:t xml:space="preserve"> UNFCCC, https://unfccc.int/sites/default/files/NDC/2022-06/Switzerland_Full%20NDC%20Communication%202021-2030%20incl%20ICTU.pdf </w:t>
      </w:r>
      <w:r w:rsidR="001C402B" w:rsidRPr="00010DF7">
        <w:rPr>
          <w:rFonts w:cs="Times New Roman"/>
          <w:lang w:val="en-GB"/>
        </w:rPr>
        <w:t>(last visited Apr. 19, 2023).</w:t>
      </w:r>
    </w:p>
  </w:footnote>
  <w:footnote w:id="296">
    <w:p w14:paraId="6AE4C0D2" w14:textId="7CC4D835" w:rsidR="00536438" w:rsidRPr="00010DF7" w:rsidRDefault="00536438">
      <w:pPr>
        <w:pStyle w:val="FootnoteText"/>
      </w:pPr>
      <w:r w:rsidRPr="00010DF7">
        <w:rPr>
          <w:rStyle w:val="FootnoteReference"/>
        </w:rPr>
        <w:footnoteRef/>
      </w:r>
      <w:r w:rsidRPr="00010DF7">
        <w:t xml:space="preserve"> CEDAW,</w:t>
      </w:r>
      <w:r w:rsidR="006720B7" w:rsidRPr="00010DF7">
        <w:t xml:space="preserve"> </w:t>
      </w:r>
      <w:r w:rsidR="006720B7" w:rsidRPr="00010DF7">
        <w:rPr>
          <w:i/>
          <w:iCs/>
        </w:rPr>
        <w:t>Concluding observations on the sixth periodic report of Switzerland</w:t>
      </w:r>
      <w:r w:rsidR="006720B7" w:rsidRPr="00010DF7">
        <w:t>, C/CHE/CO/6 (2022),</w:t>
      </w:r>
      <w:r w:rsidRPr="00010DF7">
        <w:t xml:space="preserve"> paras.39-40.</w:t>
      </w:r>
    </w:p>
  </w:footnote>
  <w:footnote w:id="297">
    <w:p w14:paraId="147425BC" w14:textId="1BA7C021" w:rsidR="00716D6C" w:rsidRPr="00716D6C" w:rsidRDefault="00716D6C">
      <w:pPr>
        <w:pStyle w:val="FootnoteText"/>
      </w:pPr>
      <w:r>
        <w:rPr>
          <w:rStyle w:val="FootnoteReference"/>
        </w:rPr>
        <w:footnoteRef/>
      </w:r>
      <w:r>
        <w:t xml:space="preserve"> </w:t>
      </w:r>
      <w:r w:rsidRPr="00716D6C">
        <w:rPr>
          <w:i/>
          <w:iCs/>
        </w:rPr>
        <w:t>Swiss Army to introduce women’s uniforms</w:t>
      </w:r>
      <w:r w:rsidRPr="00716D6C">
        <w:t xml:space="preserve">, </w:t>
      </w:r>
      <w:r w:rsidRPr="00716D6C">
        <w:rPr>
          <w:smallCaps/>
        </w:rPr>
        <w:t>Swiss</w:t>
      </w:r>
      <w:r>
        <w:rPr>
          <w:smallCaps/>
        </w:rPr>
        <w:t>I</w:t>
      </w:r>
      <w:r w:rsidRPr="00716D6C">
        <w:rPr>
          <w:smallCaps/>
        </w:rPr>
        <w:t>nfo</w:t>
      </w:r>
      <w:r w:rsidRPr="00716D6C">
        <w:t>, March 28, 2021, https://www.swissinfo.ch/eng/politics/swiss-army-to-introduce-women-s-uniforms/46486502</w:t>
      </w:r>
      <w:r w:rsidRPr="00010DF7">
        <w:t xml:space="preserve"> </w:t>
      </w:r>
      <w:r w:rsidRPr="00010DF7">
        <w:rPr>
          <w:rFonts w:cs="Times New Roman"/>
          <w:lang w:val="en-GB"/>
        </w:rPr>
        <w:t>(last visited Apr. 19, 2023).</w:t>
      </w:r>
    </w:p>
  </w:footnote>
  <w:footnote w:id="298">
    <w:p w14:paraId="7ED74687" w14:textId="77777777"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299">
    <w:p w14:paraId="4F195FD3" w14:textId="5A4C8974" w:rsidR="002A6DD5" w:rsidRPr="00010DF7" w:rsidRDefault="002A6DD5">
      <w:pPr>
        <w:pStyle w:val="FootnoteText"/>
      </w:pPr>
      <w:r w:rsidRPr="00010DF7">
        <w:rPr>
          <w:rStyle w:val="FootnoteReference"/>
        </w:rPr>
        <w:footnoteRef/>
      </w:r>
      <w:r w:rsidRPr="00010DF7">
        <w:t xml:space="preserve"> </w:t>
      </w:r>
      <w:r w:rsidR="0000176D" w:rsidRPr="00010DF7">
        <w:rPr>
          <w:i/>
          <w:iCs/>
        </w:rPr>
        <w:t>Compulsory Swiss military service: reform options include women</w:t>
      </w:r>
      <w:r w:rsidR="0000176D" w:rsidRPr="00010DF7">
        <w:t xml:space="preserve">, </w:t>
      </w:r>
      <w:r w:rsidR="0000176D" w:rsidRPr="00010DF7">
        <w:rPr>
          <w:smallCaps/>
        </w:rPr>
        <w:t>Le News</w:t>
      </w:r>
      <w:r w:rsidR="0000176D" w:rsidRPr="00010DF7">
        <w:t xml:space="preserve">, March 11, 2022, https://lenews.ch/2022/03/11/compulsory-military-service-swiss-government-presents-reform-options/ </w:t>
      </w:r>
      <w:r w:rsidR="0000176D" w:rsidRPr="00010DF7">
        <w:rPr>
          <w:rFonts w:cs="Times New Roman"/>
          <w:lang w:val="en-GB"/>
        </w:rPr>
        <w:t>(last visited Apr. 17, 2023).</w:t>
      </w:r>
    </w:p>
  </w:footnote>
  <w:footnote w:id="300">
    <w:p w14:paraId="6B99ACA0" w14:textId="6330C5D4" w:rsidR="0045678B" w:rsidRPr="00010DF7" w:rsidRDefault="0045678B">
      <w:pPr>
        <w:pStyle w:val="FootnoteText"/>
      </w:pPr>
      <w:r w:rsidRPr="00010DF7">
        <w:rPr>
          <w:rStyle w:val="FootnoteReference"/>
        </w:rPr>
        <w:footnoteRef/>
      </w:r>
      <w:r w:rsidRPr="00010DF7">
        <w:t xml:space="preserve"> Republic of Turkey, </w:t>
      </w:r>
      <w:r w:rsidRPr="00010DF7">
        <w:rPr>
          <w:i/>
          <w:iCs/>
        </w:rPr>
        <w:t>Intended Nationally Determined Contribution</w:t>
      </w:r>
      <w:r w:rsidRPr="00010DF7">
        <w:t>, UNFCCC, https://unfccc.int/sites/default/files/NDC/2022-06/The_INDC_of_TURKEY_v.15.19.30.pdf</w:t>
      </w:r>
    </w:p>
  </w:footnote>
  <w:footnote w:id="301">
    <w:p w14:paraId="71D29D0E" w14:textId="77777777" w:rsidR="003F5CE7" w:rsidRPr="00010DF7" w:rsidRDefault="003F5CE7" w:rsidP="003F5CE7">
      <w:pPr>
        <w:pStyle w:val="FootnoteText"/>
      </w:pPr>
      <w:r w:rsidRPr="00010DF7">
        <w:rPr>
          <w:rStyle w:val="FootnoteReference"/>
        </w:rPr>
        <w:footnoteRef/>
      </w:r>
      <w:r w:rsidRPr="00010DF7">
        <w:t xml:space="preserve"> CEDAW, </w:t>
      </w:r>
      <w:r w:rsidRPr="00010DF7">
        <w:rPr>
          <w:i/>
          <w:iCs/>
        </w:rPr>
        <w:t>Concluding observations on the eighth periodic report of Türkiye*</w:t>
      </w:r>
      <w:r w:rsidRPr="00010DF7">
        <w:t>, C/TUR/CO/8 (2022), para. 38.</w:t>
      </w:r>
    </w:p>
  </w:footnote>
  <w:footnote w:id="302">
    <w:p w14:paraId="104A146A" w14:textId="77777777" w:rsidR="00A0193D" w:rsidRPr="00010DF7" w:rsidRDefault="00A0193D" w:rsidP="00A0193D">
      <w:pPr>
        <w:pStyle w:val="FootnoteText"/>
      </w:pPr>
      <w:r w:rsidRPr="00010DF7">
        <w:rPr>
          <w:rStyle w:val="FootnoteReference"/>
        </w:rPr>
        <w:footnoteRef/>
      </w:r>
      <w:r w:rsidRPr="00010DF7">
        <w:t xml:space="preserve"> </w:t>
      </w:r>
      <w:r w:rsidRPr="00010DF7">
        <w:fldChar w:fldCharType="begin"/>
      </w:r>
      <w:r w:rsidRPr="00010DF7">
        <w:instrText xml:space="preserve"> ADDIN ZOTERO_ITEM CSL_CITATION {"citationID":"ASvbVtAB","properties":{"formattedCitation":"Hungary - Women, Peace, Security, https://www.globalwps.org/details/HUN (last visited Mar 13, 2023).","plainCitation":"Hungary - Women, Peace, Security, https://www.globalwps.org/details/HUN (last visited Mar 13, 2023).","noteIndex":105},"citationItems":[{"id":946,"uris":["http://zotero.org/users/10345638/items/EKXJ9478"],"itemData":{"id":946,"type":"webpage","title":"Hungary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Turkey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https://www.globalwps.org/details/TUR (last visited Apr. 19, 2023).</w:t>
      </w:r>
      <w:r w:rsidRPr="00010DF7">
        <w:fldChar w:fldCharType="end"/>
      </w:r>
    </w:p>
  </w:footnote>
  <w:footnote w:id="303">
    <w:p w14:paraId="713537FC" w14:textId="77777777" w:rsidR="00643339" w:rsidRPr="00010DF7" w:rsidRDefault="00643339" w:rsidP="00643339">
      <w:pPr>
        <w:pStyle w:val="FootnoteText"/>
      </w:pPr>
      <w:r w:rsidRPr="00010DF7">
        <w:rPr>
          <w:rStyle w:val="FootnoteReference"/>
        </w:rPr>
        <w:footnoteRef/>
      </w:r>
      <w:r w:rsidRPr="00010DF7">
        <w:t xml:space="preserve"> </w:t>
      </w:r>
      <w:r w:rsidRPr="00010DF7">
        <w:fldChar w:fldCharType="begin"/>
      </w:r>
      <w:r w:rsidRPr="00010DF7">
        <w:instrText xml:space="preserve"> ADDIN ZOTERO_ITEM CSL_CITATION {"citationID":"ASvbVtAB","properties":{"formattedCitation":"Hungary - Women, Peace, Security, https://www.globalwps.org/details/HUN (last visited Mar 13, 2023).","plainCitation":"Hungary - Women, Peace, Security, https://www.globalwps.org/details/HUN (last visited Mar 13, 2023).","noteIndex":105},"citationItems":[{"id":946,"uris":["http://zotero.org/users/10345638/items/EKXJ9478"],"itemData":{"id":946,"type":"webpage","title":"Hungary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Turkey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https://www.globalwps.org/details/TUR (last visited Apr. 19, 2023).</w:t>
      </w:r>
      <w:r w:rsidRPr="00010DF7">
        <w:fldChar w:fldCharType="end"/>
      </w:r>
    </w:p>
  </w:footnote>
  <w:footnote w:id="304">
    <w:p w14:paraId="57A4FB31" w14:textId="320EF345" w:rsidR="00080162" w:rsidRPr="00010DF7" w:rsidRDefault="00080162">
      <w:pPr>
        <w:pStyle w:val="FootnoteText"/>
      </w:pPr>
      <w:r w:rsidRPr="00010DF7">
        <w:rPr>
          <w:rStyle w:val="FootnoteReference"/>
        </w:rPr>
        <w:footnoteRef/>
      </w:r>
      <w:r w:rsidRPr="00010DF7">
        <w:t xml:space="preserve"> Patrick Kingsley, </w:t>
      </w:r>
      <w:r w:rsidRPr="00010DF7">
        <w:rPr>
          <w:i/>
          <w:iCs/>
        </w:rPr>
        <w:t>Turkey Allows Women in Military to Wear Hijabs, in Cultural Shift</w:t>
      </w:r>
      <w:r w:rsidRPr="00010DF7">
        <w:t xml:space="preserve">, </w:t>
      </w:r>
      <w:r w:rsidRPr="00010DF7">
        <w:rPr>
          <w:smallCaps/>
        </w:rPr>
        <w:t>New York Times</w:t>
      </w:r>
      <w:r w:rsidRPr="00010DF7">
        <w:t xml:space="preserve">, Feb. 22, 2017, </w:t>
      </w:r>
      <w:r w:rsidR="0000176D" w:rsidRPr="00010DF7">
        <w:t xml:space="preserve">https://www.nytimes.com/2017/02/22/world/middleeast/hijab-turkey-military.html </w:t>
      </w:r>
      <w:r w:rsidR="0000176D" w:rsidRPr="00010DF7">
        <w:rPr>
          <w:rFonts w:cs="Times New Roman"/>
          <w:lang w:val="en-GB"/>
        </w:rPr>
        <w:t>(last visited Apr. 18, 2023).</w:t>
      </w:r>
    </w:p>
  </w:footnote>
  <w:footnote w:id="305">
    <w:p w14:paraId="393490AE" w14:textId="5D7DD94F" w:rsidR="00D45124" w:rsidRPr="00010DF7" w:rsidRDefault="00D45124" w:rsidP="00D45124">
      <w:pPr>
        <w:pStyle w:val="FootnoteText"/>
      </w:pPr>
      <w:r w:rsidRPr="00010DF7">
        <w:rPr>
          <w:rStyle w:val="FootnoteReference"/>
        </w:rPr>
        <w:footnoteRef/>
      </w:r>
      <w:r w:rsidRPr="00010DF7">
        <w:t xml:space="preserve"> </w:t>
      </w:r>
      <w:r w:rsidRPr="00010DF7">
        <w:rPr>
          <w:smallCaps/>
        </w:rPr>
        <w:t>North Atlantic Treaty Organization</w:t>
      </w:r>
      <w:r w:rsidRPr="00010DF7">
        <w:t xml:space="preserve">, </w:t>
      </w:r>
      <w:r w:rsidRPr="00010DF7">
        <w:rPr>
          <w:i/>
          <w:iCs/>
        </w:rPr>
        <w:t>Summary of the National Reports of NATO Member and Partner Nations to the NATO Committee on Gender Perspectives. Full Report</w:t>
      </w:r>
      <w:r w:rsidRPr="00010DF7">
        <w:t>,</w:t>
      </w:r>
      <w:r w:rsidRPr="00010DF7">
        <w:rPr>
          <w:i/>
          <w:iCs/>
        </w:rPr>
        <w:t xml:space="preserve"> </w:t>
      </w:r>
      <w:r w:rsidRPr="00010DF7">
        <w:t xml:space="preserve">2019, at </w:t>
      </w:r>
      <w:r>
        <w:t>507</w:t>
      </w:r>
      <w:r w:rsidRPr="00010DF7">
        <w:t xml:space="preserve">, </w:t>
      </w:r>
      <w:hyperlink r:id="rId70" w:history="1">
        <w:r w:rsidRPr="00AC62F9">
          <w:rPr>
            <w:rStyle w:val="Hyperlink"/>
          </w:rPr>
          <w:t>https://www.nato.int/nato_static_fl2014/assets/pdf/2021/9/pdf/NCGP_Full_Report_2019.pdf</w:t>
        </w:r>
      </w:hyperlink>
      <w:r>
        <w:t xml:space="preserve"> </w:t>
      </w:r>
      <w:r w:rsidRPr="00010DF7">
        <w:t xml:space="preserve">. </w:t>
      </w:r>
    </w:p>
  </w:footnote>
  <w:footnote w:id="306">
    <w:p w14:paraId="233A37AC" w14:textId="77777777"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307">
    <w:p w14:paraId="3A8B5795" w14:textId="09DA0933" w:rsidR="005847DF" w:rsidRPr="00010DF7" w:rsidRDefault="005847DF">
      <w:pPr>
        <w:pStyle w:val="FootnoteText"/>
      </w:pPr>
      <w:r w:rsidRPr="00010DF7">
        <w:rPr>
          <w:rStyle w:val="FootnoteReference"/>
        </w:rPr>
        <w:footnoteRef/>
      </w:r>
      <w:r w:rsidRPr="00010DF7">
        <w:t xml:space="preserve"> </w:t>
      </w:r>
      <w:r w:rsidR="009A3944" w:rsidRPr="00010DF7">
        <w:rPr>
          <w:i/>
          <w:iCs/>
        </w:rPr>
        <w:t>Updated Nationally Determined Contribution of Ukraine to the Paris Agreement</w:t>
      </w:r>
      <w:r w:rsidR="009A3944" w:rsidRPr="00010DF7">
        <w:t>, UNFCCC, https://unfccc.int/sites/default/files/NDC/2022-06/Ukraine%20NDC_July%2031.pdf (</w:t>
      </w:r>
      <w:r w:rsidR="009A3944" w:rsidRPr="00010DF7">
        <w:rPr>
          <w:rFonts w:cs="Times New Roman"/>
          <w:lang w:val="en-GB"/>
        </w:rPr>
        <w:t>last visited Apr. 18, 2023)</w:t>
      </w:r>
    </w:p>
  </w:footnote>
  <w:footnote w:id="308">
    <w:p w14:paraId="6A2D9441" w14:textId="77777777" w:rsidR="004E2DDB" w:rsidRPr="00010DF7" w:rsidRDefault="004E2DDB" w:rsidP="004E2DDB">
      <w:pPr>
        <w:pStyle w:val="FootnoteText"/>
      </w:pPr>
      <w:r w:rsidRPr="00010DF7">
        <w:rPr>
          <w:rStyle w:val="FootnoteReference"/>
        </w:rPr>
        <w:footnoteRef/>
      </w:r>
      <w:r w:rsidRPr="00010DF7">
        <w:t xml:space="preserve"> CEDAW, </w:t>
      </w:r>
      <w:r w:rsidRPr="00010DF7">
        <w:rPr>
          <w:i/>
          <w:iCs/>
        </w:rPr>
        <w:t>Concluding observations on the ninth periodic report of Ukraine*,</w:t>
      </w:r>
      <w:r w:rsidRPr="00010DF7">
        <w:t xml:space="preserve"> C/UKR/CO/9 (2022), para. 34.</w:t>
      </w:r>
    </w:p>
  </w:footnote>
  <w:footnote w:id="309">
    <w:p w14:paraId="583727EB" w14:textId="63F10EB9" w:rsidR="002415EE" w:rsidRPr="00010DF7" w:rsidRDefault="002415EE" w:rsidP="002415EE">
      <w:pPr>
        <w:pStyle w:val="FootnoteText"/>
      </w:pPr>
      <w:r w:rsidRPr="00010DF7">
        <w:rPr>
          <w:rStyle w:val="FootnoteReference"/>
        </w:rPr>
        <w:footnoteRef/>
      </w:r>
      <w:r w:rsidRPr="00010DF7">
        <w:t xml:space="preserve"> Jessica Trisko Darden, </w:t>
      </w:r>
      <w:r w:rsidRPr="00010DF7">
        <w:rPr>
          <w:i/>
          <w:iCs/>
        </w:rPr>
        <w:t>Ukrainian wartime policy and the construction of women's combatant status</w:t>
      </w:r>
      <w:r w:rsidRPr="00010DF7">
        <w:t>, 96 Women's Studies International Forum (2023)</w:t>
      </w:r>
      <w:r w:rsidR="0007331C" w:rsidRPr="00010DF7">
        <w:t>, https://www.sciencedirect.com/science/article/pii/S0277539522001066.</w:t>
      </w:r>
      <w:r w:rsidRPr="00010DF7">
        <w:t xml:space="preserve"> </w:t>
      </w:r>
    </w:p>
  </w:footnote>
  <w:footnote w:id="310">
    <w:p w14:paraId="276517FB" w14:textId="77777777" w:rsidR="007627C3" w:rsidRPr="00010DF7" w:rsidRDefault="007627C3" w:rsidP="007627C3">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311">
    <w:p w14:paraId="4B7089A4" w14:textId="12A7842A" w:rsidR="00DC139D" w:rsidRPr="00010DF7" w:rsidRDefault="00DC139D">
      <w:pPr>
        <w:pStyle w:val="FootnoteText"/>
      </w:pPr>
      <w:r w:rsidRPr="00010DF7">
        <w:rPr>
          <w:rStyle w:val="FootnoteReference"/>
        </w:rPr>
        <w:footnoteRef/>
      </w:r>
      <w:r w:rsidRPr="00010DF7">
        <w:t xml:space="preserve"> </w:t>
      </w:r>
      <w:r w:rsidR="00252CF3" w:rsidRPr="00010DF7">
        <w:t xml:space="preserve">UK Government, </w:t>
      </w:r>
      <w:r w:rsidR="00252CF3" w:rsidRPr="00010DF7">
        <w:rPr>
          <w:i/>
          <w:iCs/>
        </w:rPr>
        <w:t>United Kingdom of Great Britain and Northern Ireland’s Nationally Determined Contribution</w:t>
      </w:r>
      <w:r w:rsidR="00252CF3" w:rsidRPr="00010DF7">
        <w:t xml:space="preserve">, </w:t>
      </w:r>
      <w:hyperlink r:id="rId71" w:history="1">
        <w:r w:rsidR="00252CF3" w:rsidRPr="00010DF7">
          <w:rPr>
            <w:rStyle w:val="Hyperlink"/>
          </w:rPr>
          <w:t>https://unfccc.int/sites/default/files/NDC/2022-06/UK%20Nationally%20Determined%20Contribution.pdf</w:t>
        </w:r>
      </w:hyperlink>
      <w:r w:rsidR="00252CF3" w:rsidRPr="00010DF7">
        <w:t xml:space="preserve">. </w:t>
      </w:r>
    </w:p>
  </w:footnote>
  <w:footnote w:id="312">
    <w:p w14:paraId="43AFC9DB" w14:textId="77777777" w:rsidR="001374B4" w:rsidRPr="00010DF7" w:rsidRDefault="001374B4" w:rsidP="001374B4">
      <w:pPr>
        <w:pStyle w:val="FootnoteText"/>
      </w:pPr>
      <w:r w:rsidRPr="00010DF7">
        <w:rPr>
          <w:rStyle w:val="FootnoteReference"/>
        </w:rPr>
        <w:footnoteRef/>
      </w:r>
      <w:r w:rsidRPr="00010DF7">
        <w:t xml:space="preserve"> CEDAW, </w:t>
      </w:r>
      <w:r w:rsidRPr="00010DF7">
        <w:rPr>
          <w:i/>
          <w:iCs/>
        </w:rPr>
        <w:t>Concluding observations on the eighth periodic report of the United Kingdom of Great Britain and Northern Ireland*</w:t>
      </w:r>
      <w:r w:rsidRPr="00010DF7">
        <w:t>, C/GBR/CO/8 (2019), para. 38.</w:t>
      </w:r>
    </w:p>
  </w:footnote>
  <w:footnote w:id="313">
    <w:p w14:paraId="3B271192" w14:textId="25551577" w:rsidR="00A76BD8" w:rsidRPr="00010DF7" w:rsidRDefault="00A76BD8">
      <w:pPr>
        <w:pStyle w:val="FootnoteText"/>
      </w:pPr>
      <w:r w:rsidRPr="00010DF7">
        <w:rPr>
          <w:rStyle w:val="FootnoteReference"/>
        </w:rPr>
        <w:footnoteRef/>
      </w:r>
      <w:r w:rsidRPr="00010DF7">
        <w:t xml:space="preserve"> </w:t>
      </w:r>
      <w:r w:rsidR="003E79E4" w:rsidRPr="00010DF7">
        <w:t xml:space="preserve">Civil Service, </w:t>
      </w:r>
      <w:r w:rsidR="003E79E4" w:rsidRPr="00010DF7">
        <w:rPr>
          <w:i/>
          <w:iCs/>
        </w:rPr>
        <w:t>A Brilliant Civil Service: becoming the UK’s most inclusive employer — The Civil Service Diversity and Inclusion Strategy</w:t>
      </w:r>
      <w:r w:rsidR="003E79E4" w:rsidRPr="00010DF7">
        <w:t xml:space="preserve">, </w:t>
      </w:r>
      <w:hyperlink r:id="rId72" w:history="1">
        <w:r w:rsidR="003E79E4" w:rsidRPr="00010DF7">
          <w:rPr>
            <w:rStyle w:val="Hyperlink"/>
          </w:rPr>
          <w:t>https://assets.publishing.service.gov.uk/government/uploads/system/uploads/attachment_data/file/1057951/civil-service-diversity-inclusion-strategy-2017-withdrawn.pdf</w:t>
        </w:r>
      </w:hyperlink>
      <w:r w:rsidR="003E79E4" w:rsidRPr="00010DF7">
        <w:t xml:space="preserve">. </w:t>
      </w:r>
    </w:p>
  </w:footnote>
  <w:footnote w:id="314">
    <w:p w14:paraId="329F10B4" w14:textId="39037E3C" w:rsidR="00890807" w:rsidRPr="00010DF7" w:rsidRDefault="00890807" w:rsidP="004267A4">
      <w:pPr>
        <w:pStyle w:val="FootnoteText"/>
      </w:pPr>
      <w:r w:rsidRPr="00010DF7">
        <w:rPr>
          <w:rStyle w:val="FootnoteReference"/>
        </w:rPr>
        <w:footnoteRef/>
      </w:r>
      <w:r w:rsidRPr="00010DF7">
        <w:t xml:space="preserve"> </w:t>
      </w:r>
      <w:r w:rsidR="004267A4" w:rsidRPr="00010DF7">
        <w:t xml:space="preserve">House of Commons, Defense Committee, </w:t>
      </w:r>
      <w:r w:rsidR="004267A4" w:rsidRPr="00010DF7">
        <w:rPr>
          <w:i/>
          <w:iCs/>
        </w:rPr>
        <w:t>Protecting those who protect us: Women in the Armed Forces from Recruitment to Civilian Life</w:t>
      </w:r>
      <w:r w:rsidR="004267A4" w:rsidRPr="00010DF7">
        <w:t xml:space="preserve">, </w:t>
      </w:r>
      <w:hyperlink r:id="rId73" w:history="1">
        <w:r w:rsidR="004267A4" w:rsidRPr="00010DF7">
          <w:rPr>
            <w:rStyle w:val="Hyperlink"/>
          </w:rPr>
          <w:t>https://committees.parliament.uk/publications/6959/documents/72771/default/</w:t>
        </w:r>
      </w:hyperlink>
      <w:r w:rsidR="004267A4" w:rsidRPr="00010DF7">
        <w:t>.</w:t>
      </w:r>
    </w:p>
  </w:footnote>
  <w:footnote w:id="315">
    <w:p w14:paraId="5BB7D421" w14:textId="1056CA1E" w:rsidR="00754B75" w:rsidRPr="00010DF7" w:rsidRDefault="00754B75" w:rsidP="00754B75">
      <w:pPr>
        <w:pStyle w:val="FootnoteText"/>
      </w:pPr>
      <w:r w:rsidRPr="00010DF7">
        <w:rPr>
          <w:rStyle w:val="FootnoteReference"/>
        </w:rPr>
        <w:footnoteRef/>
      </w:r>
      <w:r w:rsidRPr="00010DF7">
        <w:t xml:space="preserve"> </w:t>
      </w:r>
      <w:r w:rsidRPr="00010DF7">
        <w:fldChar w:fldCharType="begin"/>
      </w:r>
      <w:r w:rsidR="00B36D4F" w:rsidRPr="00010DF7">
        <w:instrText xml:space="preserve"> ADDIN ZOTERO_ITEM CSL_CITATION {"citationID":"guMrdcvb","properties":{"formattedCitation":"Hungary - Women, Peace, Security, https://www.globalwps.org/details/HUN (last visited Mar 13, 2023).","plainCitation":"Hungary - Women, Peace, Security, https://www.globalwps.org/details/HUN (last visited Mar 13, 2023).","dontUpdate":true,"noteIndex":239},"citationItems":[{"id":946,"uris":["http://zotero.org/users/10345638/items/EKXJ9478"],"itemData":{"id":946,"type":"webpage","title":"Hungary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United Kingdom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globalwps.org/details/GBR (last visited Apr. 18, 2023).</w:t>
      </w:r>
      <w:r w:rsidRPr="00010DF7">
        <w:fldChar w:fldCharType="end"/>
      </w:r>
    </w:p>
  </w:footnote>
  <w:footnote w:id="316">
    <w:p w14:paraId="3651ECE7" w14:textId="5B30DB28" w:rsidR="00754B75" w:rsidRPr="00010DF7" w:rsidRDefault="00754B75" w:rsidP="00754B75">
      <w:pPr>
        <w:pStyle w:val="FootnoteText"/>
      </w:pPr>
      <w:r w:rsidRPr="00010DF7">
        <w:rPr>
          <w:rStyle w:val="FootnoteReference"/>
        </w:rPr>
        <w:footnoteRef/>
      </w:r>
      <w:r w:rsidRPr="00010DF7">
        <w:t xml:space="preserve"> </w:t>
      </w:r>
      <w:r w:rsidRPr="00010DF7">
        <w:fldChar w:fldCharType="begin"/>
      </w:r>
      <w:r w:rsidR="00B36D4F" w:rsidRPr="00010DF7">
        <w:instrText xml:space="preserve"> ADDIN ZOTERO_ITEM CSL_CITATION {"citationID":"rBu9XY6a","properties":{"formattedCitation":"Hungary - Women, Peace, Security, https://www.globalwps.org/details/HUN (last visited Mar 13, 2023).","plainCitation":"Hungary - Women, Peace, Security, https://www.globalwps.org/details/HUN (last visited Mar 13, 2023).","dontUpdate":true,"noteIndex":240},"citationItems":[{"id":946,"uris":["http://zotero.org/users/10345638/items/EKXJ9478"],"itemData":{"id":946,"type":"webpage","title":"Hungary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United Kingdom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globalwps.org/details/GBR</w:t>
      </w:r>
      <w:r w:rsidRPr="00010DF7">
        <w:rPr>
          <w:noProof/>
          <w:highlight w:val="yellow"/>
        </w:rPr>
        <w:t xml:space="preserve"> (last visited Apr. 18, 2023</w:t>
      </w:r>
      <w:r w:rsidRPr="00010DF7">
        <w:rPr>
          <w:noProof/>
        </w:rPr>
        <w:t>).</w:t>
      </w:r>
      <w:r w:rsidRPr="00010DF7">
        <w:fldChar w:fldCharType="end"/>
      </w:r>
    </w:p>
  </w:footnote>
  <w:footnote w:id="317">
    <w:p w14:paraId="7FFA1781" w14:textId="4AB1384C" w:rsidR="00754B75" w:rsidRPr="00010DF7" w:rsidRDefault="00754B75" w:rsidP="00754B75">
      <w:pPr>
        <w:pStyle w:val="FootnoteText"/>
      </w:pPr>
      <w:r w:rsidRPr="00010DF7">
        <w:rPr>
          <w:rStyle w:val="FootnoteReference"/>
        </w:rPr>
        <w:footnoteRef/>
      </w:r>
      <w:r w:rsidRPr="00010DF7">
        <w:t xml:space="preserve"> </w:t>
      </w:r>
      <w:r w:rsidRPr="00010DF7">
        <w:fldChar w:fldCharType="begin"/>
      </w:r>
      <w:r w:rsidR="00B36D4F" w:rsidRPr="00010DF7">
        <w:instrText xml:space="preserve"> ADDIN ZOTERO_ITEM CSL_CITATION {"citationID":"WuGqRySS","properties":{"formattedCitation":"Hungary - Women, Peace, Security, https://www.globalwps.org/details/HUN (last visited Mar 13, 2023).","plainCitation":"Hungary - Women, Peace, Security, https://www.globalwps.org/details/HUN (last visited Mar 13, 2023).","dontUpdate":true,"noteIndex":241},"citationItems":[{"id":946,"uris":["http://zotero.org/users/10345638/items/EKXJ9478"],"itemData":{"id":946,"type":"webpage","title":"Hungary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United Kingdom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globalwps.org/details/GBR</w:t>
      </w:r>
      <w:r w:rsidRPr="00010DF7">
        <w:rPr>
          <w:noProof/>
          <w:highlight w:val="yellow"/>
        </w:rPr>
        <w:t xml:space="preserve"> (last visited Apr. 18, 2023</w:t>
      </w:r>
      <w:r w:rsidRPr="00010DF7">
        <w:rPr>
          <w:noProof/>
        </w:rPr>
        <w:t>).</w:t>
      </w:r>
      <w:r w:rsidRPr="00010DF7">
        <w:fldChar w:fldCharType="end"/>
      </w:r>
    </w:p>
  </w:footnote>
  <w:footnote w:id="318">
    <w:p w14:paraId="4572574D" w14:textId="77777777" w:rsidR="004116DF" w:rsidRPr="00010DF7" w:rsidRDefault="004116DF" w:rsidP="00DB5430">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319">
    <w:p w14:paraId="42B8131F" w14:textId="1C8F2841" w:rsidR="009A00AF" w:rsidRPr="00010DF7" w:rsidRDefault="009A00AF">
      <w:pPr>
        <w:pStyle w:val="FootnoteText"/>
      </w:pPr>
      <w:r w:rsidRPr="00010DF7">
        <w:rPr>
          <w:rStyle w:val="FootnoteReference"/>
        </w:rPr>
        <w:footnoteRef/>
      </w:r>
      <w:r w:rsidRPr="00010DF7">
        <w:t xml:space="preserve"> </w:t>
      </w:r>
      <w:r w:rsidR="006F18C9" w:rsidRPr="00010DF7">
        <w:t xml:space="preserve">HM Government, </w:t>
      </w:r>
      <w:r w:rsidR="006F18C9" w:rsidRPr="00010DF7">
        <w:rPr>
          <w:i/>
          <w:iCs/>
        </w:rPr>
        <w:t>UK National Action Plan on Women, Peace &amp; Security 2018 – 2022</w:t>
      </w:r>
      <w:r w:rsidR="006F18C9" w:rsidRPr="00010DF7">
        <w:t xml:space="preserve">, </w:t>
      </w:r>
      <w:r w:rsidR="0031599B" w:rsidRPr="00010DF7">
        <w:t>26</w:t>
      </w:r>
      <w:r w:rsidR="006F18C9" w:rsidRPr="00010DF7">
        <w:t xml:space="preserve">, </w:t>
      </w:r>
      <w:hyperlink r:id="rId74" w:history="1">
        <w:r w:rsidR="006F18C9" w:rsidRPr="00010DF7">
          <w:rPr>
            <w:rStyle w:val="Hyperlink"/>
          </w:rPr>
          <w:t>https://www.wpsnaps.org/app/uploads/2019/09/United-Kingdom-NAP-4-2018-2022.pdf</w:t>
        </w:r>
      </w:hyperlink>
      <w:r w:rsidR="006F18C9" w:rsidRPr="00010DF7">
        <w:t xml:space="preserve">. </w:t>
      </w:r>
    </w:p>
  </w:footnote>
  <w:footnote w:id="320">
    <w:p w14:paraId="06A7FA18" w14:textId="7F34157D" w:rsidR="004116DF" w:rsidRPr="00010DF7" w:rsidRDefault="004116DF">
      <w:pPr>
        <w:pStyle w:val="FootnoteText"/>
      </w:pPr>
      <w:r w:rsidRPr="00010DF7">
        <w:rPr>
          <w:rStyle w:val="FootnoteReference"/>
        </w:rPr>
        <w:footnoteRef/>
      </w:r>
      <w:r w:rsidRPr="00010DF7">
        <w:t xml:space="preserve"> Germany and the European Commission on behalf of the EU and its Member States, Update of the NDC of the European Union and its Member States, UNFCC, Dec. 17, 2020, </w:t>
      </w:r>
      <w:hyperlink r:id="rId75" w:history="1">
        <w:r w:rsidRPr="00010DF7">
          <w:rPr>
            <w:rStyle w:val="Hyperlink"/>
          </w:rPr>
          <w:t>https://unfccc.int/sites/default/files/NDC/2022-06/EU_NDC_Submission_December%202020.pdf</w:t>
        </w:r>
      </w:hyperlink>
      <w:r w:rsidRPr="00010DF7">
        <w:t xml:space="preserve">. </w:t>
      </w:r>
    </w:p>
  </w:footnote>
  <w:footnote w:id="321">
    <w:p w14:paraId="0D4F68B9" w14:textId="790C8E1A" w:rsidR="002D3865" w:rsidRPr="002D3865" w:rsidRDefault="002D3865">
      <w:pPr>
        <w:pStyle w:val="FootnoteText"/>
      </w:pPr>
      <w:r>
        <w:rPr>
          <w:rStyle w:val="FootnoteReference"/>
        </w:rPr>
        <w:footnoteRef/>
      </w:r>
      <w:r>
        <w:t xml:space="preserve"> </w:t>
      </w:r>
      <w:r w:rsidRPr="002D3865">
        <w:t xml:space="preserve">Laura Schiemichen, </w:t>
      </w:r>
      <w:r w:rsidRPr="002D3865">
        <w:rPr>
          <w:i/>
          <w:iCs/>
        </w:rPr>
        <w:t>Madam Ambassador: A Statistical Comparison of Female Ambassadors across the U.S.,German, and EU Foreign Services,</w:t>
      </w:r>
      <w:r w:rsidRPr="002D3865">
        <w:t xml:space="preserve"> </w:t>
      </w:r>
      <w:r w:rsidRPr="002D3865">
        <w:rPr>
          <w:smallCaps/>
        </w:rPr>
        <w:t xml:space="preserve">EU Diplomacy Paper 03 / 2019, </w:t>
      </w:r>
      <w:r w:rsidRPr="002D3865">
        <w:t>28</w:t>
      </w:r>
      <w:r w:rsidR="00784148">
        <w:t>-29</w:t>
      </w:r>
      <w:r>
        <w:t xml:space="preserve">. </w:t>
      </w:r>
    </w:p>
  </w:footnote>
  <w:footnote w:id="322">
    <w:p w14:paraId="30521A97" w14:textId="77777777" w:rsidR="00AC397A" w:rsidRPr="00010DF7" w:rsidRDefault="00AC397A" w:rsidP="00AC397A">
      <w:pPr>
        <w:pStyle w:val="FootnoteText"/>
      </w:pPr>
      <w:r w:rsidRPr="00010DF7">
        <w:rPr>
          <w:rStyle w:val="FootnoteReference"/>
        </w:rPr>
        <w:footnoteRef/>
      </w:r>
      <w:r w:rsidRPr="00010DF7">
        <w:t xml:space="preserve"> Government of Canada, Employment Equity and Diversity in the Department of National Defence and the Canadian Armed Forces Report, </w:t>
      </w:r>
      <w:hyperlink r:id="rId76" w:anchor="toc5" w:history="1">
        <w:r w:rsidRPr="00010DF7">
          <w:rPr>
            <w:rStyle w:val="Hyperlink"/>
          </w:rPr>
          <w:t>https://www.canada.ca/en/ombudsman-national-defence-forces/reports-news-statistics/investigative-reports/employment-equity-diversity/employment-equity-diversity-report.html#toc5</w:t>
        </w:r>
      </w:hyperlink>
      <w:r w:rsidRPr="00010DF7">
        <w:t xml:space="preserve">. </w:t>
      </w:r>
    </w:p>
  </w:footnote>
  <w:footnote w:id="323">
    <w:p w14:paraId="56C61A88" w14:textId="0865DC0C" w:rsidR="00257D23" w:rsidRPr="00010DF7" w:rsidRDefault="00D705CD" w:rsidP="00257D23">
      <w:pPr>
        <w:pStyle w:val="FootnoteText"/>
      </w:pPr>
      <w:r w:rsidRPr="00010DF7">
        <w:rPr>
          <w:rStyle w:val="FootnoteReference"/>
        </w:rPr>
        <w:footnoteRef/>
      </w:r>
      <w:r w:rsidRPr="00010DF7">
        <w:t xml:space="preserve"> </w:t>
      </w:r>
      <w:r w:rsidR="00257D23" w:rsidRPr="00010DF7">
        <w:t>Foreign &amp; Commonwealth Office</w:t>
      </w:r>
      <w:r w:rsidR="00257D23" w:rsidRPr="00010DF7">
        <w:rPr>
          <w:i/>
          <w:iCs/>
        </w:rPr>
        <w:t>, Women and the Foreign Office</w:t>
      </w:r>
      <w:r w:rsidR="00257D23" w:rsidRPr="00010DF7">
        <w:t xml:space="preserve">, </w:t>
      </w:r>
      <w:r w:rsidR="00257D23" w:rsidRPr="00010DF7">
        <w:rPr>
          <w:smallCaps/>
        </w:rPr>
        <w:t>History Notes: Issue 20</w:t>
      </w:r>
      <w:r w:rsidR="00257D23" w:rsidRPr="00010DF7">
        <w:t xml:space="preserve">, 24 https://assets.publishing.service.gov.uk/government/uploads/system/uploads/attachment_data/file/747797/Women_in_Diplomacy_History_Note__2nd_Edition_.pdf </w:t>
      </w:r>
      <w:r w:rsidR="00257D23" w:rsidRPr="00010DF7">
        <w:rPr>
          <w:rFonts w:cs="Times New Roman"/>
          <w:lang w:val="en-GB"/>
        </w:rPr>
        <w:t>(last visited Apr.18, 2023).</w:t>
      </w:r>
      <w:r w:rsidR="00257D23" w:rsidRPr="00010DF7">
        <w:t xml:space="preserve"> </w:t>
      </w:r>
    </w:p>
  </w:footnote>
  <w:footnote w:id="324">
    <w:p w14:paraId="78D9A065" w14:textId="3D8A8E67" w:rsidR="005F0E06" w:rsidRPr="00010DF7" w:rsidRDefault="005F0E06">
      <w:pPr>
        <w:pStyle w:val="FootnoteText"/>
      </w:pPr>
      <w:r w:rsidRPr="00010DF7">
        <w:rPr>
          <w:rStyle w:val="FootnoteReference"/>
        </w:rPr>
        <w:footnoteRef/>
      </w:r>
      <w:r w:rsidRPr="00010DF7">
        <w:t xml:space="preserve"> </w:t>
      </w:r>
      <w:r w:rsidR="00AC397A" w:rsidRPr="00010DF7">
        <w:t xml:space="preserve">Government of Canada, Employment Equity and Diversity in the Department of National Defence and the Canadian Armed Forces Report, </w:t>
      </w:r>
      <w:hyperlink r:id="rId77" w:anchor="toc5" w:history="1">
        <w:r w:rsidR="00AC397A" w:rsidRPr="00010DF7">
          <w:rPr>
            <w:rStyle w:val="Hyperlink"/>
          </w:rPr>
          <w:t>https://www.canada.ca/en/ombudsman-national-defence-forces/reports-news-statistics/investigative-reports/employment-equity-diversity/employment-equity-diversity-report.html#toc5</w:t>
        </w:r>
      </w:hyperlink>
      <w:r w:rsidR="00AC397A" w:rsidRPr="00010DF7">
        <w:t xml:space="preserve">. </w:t>
      </w:r>
    </w:p>
  </w:footnote>
  <w:footnote w:id="325">
    <w:p w14:paraId="413164F5" w14:textId="77777777" w:rsidR="00584F9A" w:rsidRPr="00010DF7" w:rsidRDefault="00584F9A" w:rsidP="00584F9A">
      <w:pPr>
        <w:pStyle w:val="FootnoteText"/>
      </w:pPr>
      <w:r w:rsidRPr="00010DF7">
        <w:rPr>
          <w:rStyle w:val="FootnoteReference"/>
        </w:rPr>
        <w:footnoteRef/>
      </w:r>
      <w:r w:rsidRPr="00010DF7">
        <w:t xml:space="preserve"> M</w:t>
      </w:r>
      <w:r w:rsidRPr="00010DF7">
        <w:rPr>
          <w:rFonts w:cs="Times New Roman"/>
          <w:lang w:val="en-GB"/>
        </w:rPr>
        <w:t xml:space="preserve">ilitary service age and obligation - The World Factbook, </w:t>
      </w:r>
      <w:r w:rsidRPr="00010DF7">
        <w:rPr>
          <w:rFonts w:cs="Times New Roman"/>
          <w:smallCaps/>
          <w:lang w:val="en-GB"/>
        </w:rPr>
        <w:t>Central Intelligence Agency</w:t>
      </w:r>
      <w:r w:rsidRPr="00010DF7">
        <w:rPr>
          <w:rFonts w:cs="Times New Roman"/>
          <w:lang w:val="en-GB"/>
        </w:rPr>
        <w:t>, https://www.cia.gov/the-world-factbook/field/military-service-age-and-obligation/ (last visited Feb 24, 2023).</w:t>
      </w:r>
    </w:p>
  </w:footnote>
  <w:footnote w:id="326">
    <w:p w14:paraId="65524727" w14:textId="0B928CF8" w:rsidR="00D9353C" w:rsidRPr="00010DF7" w:rsidRDefault="00D9353C">
      <w:pPr>
        <w:pStyle w:val="FootnoteText"/>
      </w:pPr>
      <w:r w:rsidRPr="00010DF7">
        <w:rPr>
          <w:rStyle w:val="FootnoteReference"/>
        </w:rPr>
        <w:footnoteRef/>
      </w:r>
      <w:r w:rsidR="00241028" w:rsidRPr="00010DF7">
        <w:t xml:space="preserve"> Canada's Action Plan for the Implementation of United Nations Security Council Resolutions on Women, Peace and Security - 2017-2022,</w:t>
      </w:r>
      <w:r w:rsidR="001B03BC" w:rsidRPr="00010DF7">
        <w:t xml:space="preserve"> </w:t>
      </w:r>
      <w:r w:rsidR="001B03BC" w:rsidRPr="00010DF7">
        <w:rPr>
          <w:smallCaps/>
        </w:rPr>
        <w:t>Global Affairs Canada,</w:t>
      </w:r>
      <w:r w:rsidR="00241028" w:rsidRPr="00010DF7">
        <w:t xml:space="preserve"> https://www.international.gc.ca/transparency-transparence/women-peace-security-femmes-paix-securite/2017-2022-action-plan.aspx?lang=eng </w:t>
      </w:r>
      <w:r w:rsidR="00241028" w:rsidRPr="00010DF7">
        <w:rPr>
          <w:rFonts w:cs="Times New Roman"/>
          <w:lang w:val="en-GB"/>
        </w:rPr>
        <w:t>(last visited April 2, 2023).</w:t>
      </w:r>
      <w:r w:rsidR="00241028" w:rsidRPr="00010DF7">
        <w:t xml:space="preserve">. </w:t>
      </w:r>
    </w:p>
  </w:footnote>
  <w:footnote w:id="327">
    <w:p w14:paraId="44FBC39E" w14:textId="4B9A09E9" w:rsidR="00A71715" w:rsidRPr="00010DF7" w:rsidRDefault="00A71715" w:rsidP="00A71715">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{"citationID":"TZ66YFer","properties":{"formattedCitation":"Hungary - Women, Peace, Security, https://www.globalwps.org/details/HUN (last visited Mar 13, 2023).","plainCitation":"Hungary - Women, Peace, Security, https://www.globalwps.org/details/HUN (last visited Mar 13, 2023).","dontUpdate":true,"noteIndex":206},"citationItems":[{"id":946,"uris":["http://zotero.org/users/10345638/items/EKXJ9478"],"itemData":{"id":946,"type":"webpage","title":"Hungary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Canada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https://www.globalwps.org/details/CAN (last visited Apr. 2, 2023).</w:t>
      </w:r>
      <w:r w:rsidRPr="00010DF7">
        <w:fldChar w:fldCharType="end"/>
      </w:r>
    </w:p>
  </w:footnote>
  <w:footnote w:id="328">
    <w:p w14:paraId="02C0D4E4" w14:textId="2CDD158D" w:rsidR="00B063BA" w:rsidRPr="00010DF7" w:rsidRDefault="00B063BA" w:rsidP="00B063BA">
      <w:pPr>
        <w:pStyle w:val="FootnoteText"/>
      </w:pPr>
      <w:r w:rsidRPr="00010DF7">
        <w:rPr>
          <w:rStyle w:val="FootnoteReference"/>
        </w:rPr>
        <w:footnoteRef/>
      </w:r>
      <w:r w:rsidRPr="00010DF7">
        <w:t xml:space="preserve"> </w:t>
      </w:r>
      <w:r w:rsidRPr="00010DF7">
        <w:fldChar w:fldCharType="begin"/>
      </w:r>
      <w:r w:rsidR="00AD6653" w:rsidRPr="00010DF7">
        <w:instrText xml:space="preserve"> ADDIN ZOTERO_ITEM CSL_CITATION {"citationID":"z1mCyW1l","properties":{"formattedCitation":"Hungary - Women, Peace, Security, https://www.globalwps.org/details/HUN (last visited Mar 13, 2023).","plainCitation":"Hungary - Women, Peace, Security, https://www.globalwps.org/details/HUN (last visited Mar 13, 2023).","dontUpdate":true,"noteIndex":207},"citationItems":[{"id":946,"uris":["http://zotero.org/users/10345638/items/EKXJ9478"],"itemData":{"id":946,"type":"webpage","title":"Hungary - Women, Peace, Security","URL":"https://www.globalwps.org/details/HUN","accessed":{"date-parts":[["2023",3,13]]}}}],"schema":"https://github.com/citation-style-language/schema/raw/master/csl-citation.json"} </w:instrText>
      </w:r>
      <w:r w:rsidRPr="00010DF7">
        <w:fldChar w:fldCharType="separate"/>
      </w:r>
      <w:r w:rsidRPr="00010DF7">
        <w:rPr>
          <w:noProof/>
        </w:rPr>
        <w:t xml:space="preserve">Canada - Women, Peace, Security. </w:t>
      </w:r>
      <w:r w:rsidRPr="00010DF7">
        <w:rPr>
          <w:i/>
          <w:iCs/>
          <w:noProof/>
        </w:rPr>
        <w:t>Security Sector</w:t>
      </w:r>
      <w:r w:rsidRPr="00010DF7">
        <w:rPr>
          <w:noProof/>
        </w:rPr>
        <w:t xml:space="preserve">, </w:t>
      </w:r>
      <w:r w:rsidRPr="00010DF7">
        <w:rPr>
          <w:smallCaps/>
          <w:noProof/>
        </w:rPr>
        <w:t>North Atlantic Treaty Organization,</w:t>
      </w:r>
      <w:r w:rsidRPr="00010DF7">
        <w:rPr>
          <w:noProof/>
        </w:rPr>
        <w:t xml:space="preserve"> https://www.globalwps.org/details/CAN (last visited Apr. 2, 2023).</w:t>
      </w:r>
      <w:r w:rsidRPr="00010DF7">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5594"/>
    <w:multiLevelType w:val="hybridMultilevel"/>
    <w:tmpl w:val="9948C9A2"/>
    <w:lvl w:ilvl="0" w:tplc="C9C89770">
      <w:start w:val="1"/>
      <w:numFmt w:val="bullet"/>
      <w:lvlText w:val="◦"/>
      <w:lvlJc w:val="left"/>
      <w:pPr>
        <w:tabs>
          <w:tab w:val="num" w:pos="720"/>
        </w:tabs>
        <w:ind w:left="720" w:hanging="360"/>
      </w:pPr>
      <w:rPr>
        <w:rFonts w:ascii="Verdana" w:hAnsi="Verdana" w:hint="default"/>
      </w:rPr>
    </w:lvl>
    <w:lvl w:ilvl="1" w:tplc="2BD62D42">
      <w:start w:val="1"/>
      <w:numFmt w:val="bullet"/>
      <w:lvlText w:val="◦"/>
      <w:lvlJc w:val="left"/>
      <w:pPr>
        <w:tabs>
          <w:tab w:val="num" w:pos="1440"/>
        </w:tabs>
        <w:ind w:left="1440" w:hanging="360"/>
      </w:pPr>
      <w:rPr>
        <w:rFonts w:ascii="Verdana" w:hAnsi="Verdana" w:hint="default"/>
      </w:rPr>
    </w:lvl>
    <w:lvl w:ilvl="2" w:tplc="B6464AC6" w:tentative="1">
      <w:start w:val="1"/>
      <w:numFmt w:val="bullet"/>
      <w:lvlText w:val="◦"/>
      <w:lvlJc w:val="left"/>
      <w:pPr>
        <w:tabs>
          <w:tab w:val="num" w:pos="2160"/>
        </w:tabs>
        <w:ind w:left="2160" w:hanging="360"/>
      </w:pPr>
      <w:rPr>
        <w:rFonts w:ascii="Verdana" w:hAnsi="Verdana" w:hint="default"/>
      </w:rPr>
    </w:lvl>
    <w:lvl w:ilvl="3" w:tplc="F208C4AC" w:tentative="1">
      <w:start w:val="1"/>
      <w:numFmt w:val="bullet"/>
      <w:lvlText w:val="◦"/>
      <w:lvlJc w:val="left"/>
      <w:pPr>
        <w:tabs>
          <w:tab w:val="num" w:pos="2880"/>
        </w:tabs>
        <w:ind w:left="2880" w:hanging="360"/>
      </w:pPr>
      <w:rPr>
        <w:rFonts w:ascii="Verdana" w:hAnsi="Verdana" w:hint="default"/>
      </w:rPr>
    </w:lvl>
    <w:lvl w:ilvl="4" w:tplc="887473B8" w:tentative="1">
      <w:start w:val="1"/>
      <w:numFmt w:val="bullet"/>
      <w:lvlText w:val="◦"/>
      <w:lvlJc w:val="left"/>
      <w:pPr>
        <w:tabs>
          <w:tab w:val="num" w:pos="3600"/>
        </w:tabs>
        <w:ind w:left="3600" w:hanging="360"/>
      </w:pPr>
      <w:rPr>
        <w:rFonts w:ascii="Verdana" w:hAnsi="Verdana" w:hint="default"/>
      </w:rPr>
    </w:lvl>
    <w:lvl w:ilvl="5" w:tplc="EF820302" w:tentative="1">
      <w:start w:val="1"/>
      <w:numFmt w:val="bullet"/>
      <w:lvlText w:val="◦"/>
      <w:lvlJc w:val="left"/>
      <w:pPr>
        <w:tabs>
          <w:tab w:val="num" w:pos="4320"/>
        </w:tabs>
        <w:ind w:left="4320" w:hanging="360"/>
      </w:pPr>
      <w:rPr>
        <w:rFonts w:ascii="Verdana" w:hAnsi="Verdana" w:hint="default"/>
      </w:rPr>
    </w:lvl>
    <w:lvl w:ilvl="6" w:tplc="CACC937A" w:tentative="1">
      <w:start w:val="1"/>
      <w:numFmt w:val="bullet"/>
      <w:lvlText w:val="◦"/>
      <w:lvlJc w:val="left"/>
      <w:pPr>
        <w:tabs>
          <w:tab w:val="num" w:pos="5040"/>
        </w:tabs>
        <w:ind w:left="5040" w:hanging="360"/>
      </w:pPr>
      <w:rPr>
        <w:rFonts w:ascii="Verdana" w:hAnsi="Verdana" w:hint="default"/>
      </w:rPr>
    </w:lvl>
    <w:lvl w:ilvl="7" w:tplc="1B981946" w:tentative="1">
      <w:start w:val="1"/>
      <w:numFmt w:val="bullet"/>
      <w:lvlText w:val="◦"/>
      <w:lvlJc w:val="left"/>
      <w:pPr>
        <w:tabs>
          <w:tab w:val="num" w:pos="5760"/>
        </w:tabs>
        <w:ind w:left="5760" w:hanging="360"/>
      </w:pPr>
      <w:rPr>
        <w:rFonts w:ascii="Verdana" w:hAnsi="Verdana" w:hint="default"/>
      </w:rPr>
    </w:lvl>
    <w:lvl w:ilvl="8" w:tplc="EB721F64" w:tentative="1">
      <w:start w:val="1"/>
      <w:numFmt w:val="bullet"/>
      <w:lvlText w:val="◦"/>
      <w:lvlJc w:val="left"/>
      <w:pPr>
        <w:tabs>
          <w:tab w:val="num" w:pos="6480"/>
        </w:tabs>
        <w:ind w:left="6480" w:hanging="360"/>
      </w:pPr>
      <w:rPr>
        <w:rFonts w:ascii="Verdana" w:hAnsi="Verdana" w:hint="default"/>
      </w:rPr>
    </w:lvl>
  </w:abstractNum>
  <w:abstractNum w:abstractNumId="1" w15:restartNumberingAfterBreak="0">
    <w:nsid w:val="0EEC38E3"/>
    <w:multiLevelType w:val="hybridMultilevel"/>
    <w:tmpl w:val="D9CCE958"/>
    <w:lvl w:ilvl="0" w:tplc="F80436CE">
      <w:start w:val="19"/>
      <w:numFmt w:val="bullet"/>
      <w:lvlText w:val="—"/>
      <w:lvlJc w:val="left"/>
      <w:pPr>
        <w:ind w:left="720" w:hanging="360"/>
      </w:pPr>
      <w:rPr>
        <w:rFonts w:ascii="Times New Roman" w:eastAsiaTheme="maj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715A1"/>
    <w:multiLevelType w:val="hybridMultilevel"/>
    <w:tmpl w:val="F55A46B4"/>
    <w:lvl w:ilvl="0" w:tplc="E2240CAE">
      <w:start w:val="19"/>
      <w:numFmt w:val="bullet"/>
      <w:lvlText w:val="—"/>
      <w:lvlJc w:val="left"/>
      <w:pPr>
        <w:ind w:left="720" w:hanging="360"/>
      </w:pPr>
      <w:rPr>
        <w:rFonts w:ascii="Times New Roman" w:eastAsiaTheme="maj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433C5"/>
    <w:multiLevelType w:val="hybridMultilevel"/>
    <w:tmpl w:val="05E0B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163CC8"/>
    <w:multiLevelType w:val="hybridMultilevel"/>
    <w:tmpl w:val="FA1242CA"/>
    <w:lvl w:ilvl="0" w:tplc="44584AD4">
      <w:start w:val="2"/>
      <w:numFmt w:val="bullet"/>
      <w:lvlText w:val="—"/>
      <w:lvlJc w:val="left"/>
      <w:pPr>
        <w:ind w:left="720" w:hanging="360"/>
      </w:pPr>
      <w:rPr>
        <w:rFonts w:ascii="Times New Roman" w:eastAsiaTheme="maj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41693"/>
    <w:multiLevelType w:val="hybridMultilevel"/>
    <w:tmpl w:val="3E00E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F06AE4"/>
    <w:multiLevelType w:val="hybridMultilevel"/>
    <w:tmpl w:val="65BC42CA"/>
    <w:lvl w:ilvl="0" w:tplc="311204E0">
      <w:start w:val="1"/>
      <w:numFmt w:val="bullet"/>
      <w:lvlText w:val="-"/>
      <w:lvlJc w:val="left"/>
      <w:pPr>
        <w:ind w:left="720" w:hanging="360"/>
      </w:pPr>
      <w:rPr>
        <w:rFonts w:ascii="Georgia" w:eastAsiaTheme="majorEastAsia" w:hAnsi="Georg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03399"/>
    <w:multiLevelType w:val="hybridMultilevel"/>
    <w:tmpl w:val="45380862"/>
    <w:lvl w:ilvl="0" w:tplc="B18A7FDA">
      <w:start w:val="12"/>
      <w:numFmt w:val="bullet"/>
      <w:lvlText w:val="–"/>
      <w:lvlJc w:val="left"/>
      <w:pPr>
        <w:ind w:left="720" w:hanging="360"/>
      </w:pPr>
      <w:rPr>
        <w:rFonts w:ascii="Georgia" w:eastAsiaTheme="majorEastAsia" w:hAnsi="Georg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B7FAB"/>
    <w:multiLevelType w:val="hybridMultilevel"/>
    <w:tmpl w:val="BA3079E6"/>
    <w:lvl w:ilvl="0" w:tplc="577A767A">
      <w:start w:val="5"/>
      <w:numFmt w:val="bullet"/>
      <w:lvlText w:val="—"/>
      <w:lvlJc w:val="left"/>
      <w:pPr>
        <w:ind w:left="720" w:hanging="360"/>
      </w:pPr>
      <w:rPr>
        <w:rFonts w:ascii="Times New Roman" w:eastAsiaTheme="maj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74A5C"/>
    <w:multiLevelType w:val="multilevel"/>
    <w:tmpl w:val="CAD6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640550"/>
    <w:multiLevelType w:val="hybridMultilevel"/>
    <w:tmpl w:val="7A602192"/>
    <w:lvl w:ilvl="0" w:tplc="A9EE7A3A">
      <w:start w:val="19"/>
      <w:numFmt w:val="bullet"/>
      <w:lvlText w:val="-"/>
      <w:lvlJc w:val="left"/>
      <w:pPr>
        <w:ind w:left="720" w:hanging="360"/>
      </w:pPr>
      <w:rPr>
        <w:rFonts w:ascii="Times New Roman" w:eastAsiaTheme="maj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F22947"/>
    <w:multiLevelType w:val="multilevel"/>
    <w:tmpl w:val="87A0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930A10"/>
    <w:multiLevelType w:val="multilevel"/>
    <w:tmpl w:val="8C34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DF056E"/>
    <w:multiLevelType w:val="hybridMultilevel"/>
    <w:tmpl w:val="994A3062"/>
    <w:lvl w:ilvl="0" w:tplc="1674E7D0">
      <w:start w:val="19"/>
      <w:numFmt w:val="bullet"/>
      <w:lvlText w:val="—"/>
      <w:lvlJc w:val="left"/>
      <w:pPr>
        <w:ind w:left="720" w:hanging="360"/>
      </w:pPr>
      <w:rPr>
        <w:rFonts w:ascii="Times New Roman" w:eastAsiaTheme="maj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C1BDB"/>
    <w:multiLevelType w:val="hybridMultilevel"/>
    <w:tmpl w:val="1F78B040"/>
    <w:lvl w:ilvl="0" w:tplc="67800438">
      <w:start w:val="19"/>
      <w:numFmt w:val="bullet"/>
      <w:lvlText w:val="—"/>
      <w:lvlJc w:val="left"/>
      <w:pPr>
        <w:ind w:left="720" w:hanging="360"/>
      </w:pPr>
      <w:rPr>
        <w:rFonts w:ascii="Times New Roman" w:eastAsiaTheme="maj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13EFB"/>
    <w:multiLevelType w:val="hybridMultilevel"/>
    <w:tmpl w:val="CCC67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787F12"/>
    <w:multiLevelType w:val="hybridMultilevel"/>
    <w:tmpl w:val="39A278B0"/>
    <w:lvl w:ilvl="0" w:tplc="E7D470A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66C1201"/>
    <w:multiLevelType w:val="hybridMultilevel"/>
    <w:tmpl w:val="2C50673E"/>
    <w:lvl w:ilvl="0" w:tplc="049AF2B2">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7B4708"/>
    <w:multiLevelType w:val="multilevel"/>
    <w:tmpl w:val="8828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255E47"/>
    <w:multiLevelType w:val="hybridMultilevel"/>
    <w:tmpl w:val="757EEFAE"/>
    <w:lvl w:ilvl="0" w:tplc="AAD2B710">
      <w:start w:val="19"/>
      <w:numFmt w:val="bullet"/>
      <w:lvlText w:val="-"/>
      <w:lvlJc w:val="left"/>
      <w:pPr>
        <w:ind w:left="720" w:hanging="360"/>
      </w:pPr>
      <w:rPr>
        <w:rFonts w:ascii="Times New Roman" w:eastAsiaTheme="maj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D4E20"/>
    <w:multiLevelType w:val="hybridMultilevel"/>
    <w:tmpl w:val="B8A88D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4D4F52"/>
    <w:multiLevelType w:val="hybridMultilevel"/>
    <w:tmpl w:val="95880712"/>
    <w:lvl w:ilvl="0" w:tplc="E02A64B2">
      <w:start w:val="19"/>
      <w:numFmt w:val="bullet"/>
      <w:lvlText w:val="-"/>
      <w:lvlJc w:val="left"/>
      <w:pPr>
        <w:ind w:left="720" w:hanging="360"/>
      </w:pPr>
      <w:rPr>
        <w:rFonts w:ascii="Times New Roman" w:eastAsiaTheme="maj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AA2BB1"/>
    <w:multiLevelType w:val="multilevel"/>
    <w:tmpl w:val="FCE46E10"/>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Georgia" w:hAnsi="Georgia" w:cs="Times New Roman" w:hint="default"/>
        <w:color w:val="auto"/>
        <w:sz w:val="20"/>
      </w:rPr>
    </w:lvl>
    <w:lvl w:ilvl="2">
      <w:start w:val="1"/>
      <w:numFmt w:val="bullet"/>
      <w:lvlText w:val=""/>
      <w:lvlJc w:val="left"/>
      <w:pPr>
        <w:ind w:left="851" w:hanging="284"/>
      </w:pPr>
      <w:rPr>
        <w:rFonts w:ascii="Wingdings" w:hAnsi="Wingdings" w:cs="Times New Roman" w:hint="default"/>
        <w:sz w:val="20"/>
      </w:rPr>
    </w:lvl>
    <w:lvl w:ilvl="3">
      <w:start w:val="1"/>
      <w:numFmt w:val="bullet"/>
      <w:lvlText w:val=""/>
      <w:lvlJc w:val="left"/>
      <w:pPr>
        <w:tabs>
          <w:tab w:val="num" w:pos="1134"/>
        </w:tabs>
        <w:ind w:left="1134" w:hanging="283"/>
      </w:pPr>
      <w:rPr>
        <w:rFonts w:ascii="Symbol" w:hAnsi="Symbol" w:hint="default"/>
        <w:sz w:val="20"/>
      </w:rPr>
    </w:lvl>
    <w:lvl w:ilvl="4">
      <w:start w:val="1"/>
      <w:numFmt w:val="bullet"/>
      <w:lvlText w:val="o"/>
      <w:lvlJc w:val="left"/>
      <w:pPr>
        <w:tabs>
          <w:tab w:val="num" w:pos="1418"/>
        </w:tabs>
        <w:ind w:left="1418" w:hanging="284"/>
      </w:pPr>
      <w:rPr>
        <w:rFonts w:ascii="Courier New" w:hAnsi="Courier New" w:hint="default"/>
        <w:sz w:val="20"/>
      </w:rPr>
    </w:lvl>
    <w:lvl w:ilvl="5">
      <w:start w:val="1"/>
      <w:numFmt w:val="bullet"/>
      <w:lvlText w:val=""/>
      <w:lvlJc w:val="left"/>
      <w:pPr>
        <w:tabs>
          <w:tab w:val="num" w:pos="1701"/>
        </w:tabs>
        <w:ind w:left="1701" w:hanging="283"/>
      </w:pPr>
      <w:rPr>
        <w:rFonts w:ascii="Wingdings" w:hAnsi="Wingdings" w:hint="default"/>
        <w:sz w:val="20"/>
      </w:rPr>
    </w:lvl>
    <w:lvl w:ilvl="6">
      <w:start w:val="1"/>
      <w:numFmt w:val="bullet"/>
      <w:lvlText w:val=""/>
      <w:lvlJc w:val="left"/>
      <w:pPr>
        <w:tabs>
          <w:tab w:val="num" w:pos="1985"/>
        </w:tabs>
        <w:ind w:left="1985" w:hanging="284"/>
      </w:pPr>
      <w:rPr>
        <w:rFonts w:ascii="Symbol" w:hAnsi="Symbol" w:hint="default"/>
        <w:sz w:val="20"/>
      </w:rPr>
    </w:lvl>
    <w:lvl w:ilvl="7">
      <w:start w:val="1"/>
      <w:numFmt w:val="bullet"/>
      <w:lvlText w:val="o"/>
      <w:lvlJc w:val="left"/>
      <w:pPr>
        <w:tabs>
          <w:tab w:val="num" w:pos="2268"/>
        </w:tabs>
        <w:ind w:left="2268" w:hanging="283"/>
      </w:pPr>
      <w:rPr>
        <w:rFonts w:ascii="Courier New" w:hAnsi="Courier New" w:hint="default"/>
        <w:sz w:val="20"/>
      </w:rPr>
    </w:lvl>
    <w:lvl w:ilvl="8">
      <w:start w:val="1"/>
      <w:numFmt w:val="bullet"/>
      <w:lvlText w:val=""/>
      <w:lvlJc w:val="left"/>
      <w:pPr>
        <w:tabs>
          <w:tab w:val="num" w:pos="4253"/>
        </w:tabs>
        <w:ind w:left="4536" w:hanging="283"/>
      </w:pPr>
      <w:rPr>
        <w:rFonts w:ascii="Wingdings" w:hAnsi="Wingdings" w:hint="default"/>
        <w:sz w:val="20"/>
      </w:rPr>
    </w:lvl>
  </w:abstractNum>
  <w:abstractNum w:abstractNumId="23" w15:restartNumberingAfterBreak="0">
    <w:nsid w:val="4D822BE0"/>
    <w:multiLevelType w:val="hybridMultilevel"/>
    <w:tmpl w:val="B01835D2"/>
    <w:lvl w:ilvl="0" w:tplc="2A0A49C0">
      <w:start w:val="2"/>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B83C74"/>
    <w:multiLevelType w:val="multilevel"/>
    <w:tmpl w:val="FCE46E10"/>
    <w:lvl w:ilvl="0">
      <w:start w:val="1"/>
      <w:numFmt w:val="bullet"/>
      <w:lvlText w:val=""/>
      <w:lvlJc w:val="left"/>
      <w:pPr>
        <w:ind w:left="284" w:hanging="284"/>
      </w:pPr>
      <w:rPr>
        <w:rFonts w:ascii="Symbol" w:hAnsi="Symbol" w:hint="default"/>
        <w:b/>
        <w:sz w:val="20"/>
      </w:rPr>
    </w:lvl>
    <w:lvl w:ilvl="1">
      <w:start w:val="1"/>
      <w:numFmt w:val="bullet"/>
      <w:lvlText w:val="◦"/>
      <w:lvlJc w:val="left"/>
      <w:pPr>
        <w:ind w:left="567" w:hanging="283"/>
      </w:pPr>
      <w:rPr>
        <w:rFonts w:ascii="Georgia" w:hAnsi="Georgia" w:cs="Times New Roman" w:hint="default"/>
        <w:color w:val="auto"/>
        <w:sz w:val="20"/>
      </w:rPr>
    </w:lvl>
    <w:lvl w:ilvl="2">
      <w:start w:val="1"/>
      <w:numFmt w:val="bullet"/>
      <w:lvlText w:val=""/>
      <w:lvlJc w:val="left"/>
      <w:pPr>
        <w:ind w:left="851" w:hanging="284"/>
      </w:pPr>
      <w:rPr>
        <w:rFonts w:ascii="Wingdings" w:hAnsi="Wingdings" w:cs="Times New Roman" w:hint="default"/>
        <w:sz w:val="20"/>
      </w:rPr>
    </w:lvl>
    <w:lvl w:ilvl="3">
      <w:start w:val="1"/>
      <w:numFmt w:val="bullet"/>
      <w:lvlText w:val=""/>
      <w:lvlJc w:val="left"/>
      <w:pPr>
        <w:tabs>
          <w:tab w:val="num" w:pos="1134"/>
        </w:tabs>
        <w:ind w:left="1134" w:hanging="283"/>
      </w:pPr>
      <w:rPr>
        <w:rFonts w:ascii="Symbol" w:hAnsi="Symbol" w:hint="default"/>
        <w:sz w:val="20"/>
      </w:rPr>
    </w:lvl>
    <w:lvl w:ilvl="4">
      <w:start w:val="1"/>
      <w:numFmt w:val="bullet"/>
      <w:lvlText w:val="o"/>
      <w:lvlJc w:val="left"/>
      <w:pPr>
        <w:tabs>
          <w:tab w:val="num" w:pos="1418"/>
        </w:tabs>
        <w:ind w:left="1418" w:hanging="284"/>
      </w:pPr>
      <w:rPr>
        <w:rFonts w:ascii="Courier New" w:hAnsi="Courier New" w:hint="default"/>
        <w:sz w:val="20"/>
      </w:rPr>
    </w:lvl>
    <w:lvl w:ilvl="5">
      <w:start w:val="1"/>
      <w:numFmt w:val="bullet"/>
      <w:lvlText w:val=""/>
      <w:lvlJc w:val="left"/>
      <w:pPr>
        <w:tabs>
          <w:tab w:val="num" w:pos="1701"/>
        </w:tabs>
        <w:ind w:left="1701" w:hanging="283"/>
      </w:pPr>
      <w:rPr>
        <w:rFonts w:ascii="Wingdings" w:hAnsi="Wingdings" w:hint="default"/>
        <w:sz w:val="20"/>
      </w:rPr>
    </w:lvl>
    <w:lvl w:ilvl="6">
      <w:start w:val="1"/>
      <w:numFmt w:val="bullet"/>
      <w:lvlText w:val=""/>
      <w:lvlJc w:val="left"/>
      <w:pPr>
        <w:tabs>
          <w:tab w:val="num" w:pos="1985"/>
        </w:tabs>
        <w:ind w:left="1985" w:hanging="284"/>
      </w:pPr>
      <w:rPr>
        <w:rFonts w:ascii="Symbol" w:hAnsi="Symbol" w:hint="default"/>
        <w:sz w:val="20"/>
      </w:rPr>
    </w:lvl>
    <w:lvl w:ilvl="7">
      <w:start w:val="1"/>
      <w:numFmt w:val="bullet"/>
      <w:lvlText w:val="o"/>
      <w:lvlJc w:val="left"/>
      <w:pPr>
        <w:tabs>
          <w:tab w:val="num" w:pos="2268"/>
        </w:tabs>
        <w:ind w:left="2268" w:hanging="283"/>
      </w:pPr>
      <w:rPr>
        <w:rFonts w:ascii="Courier New" w:hAnsi="Courier New" w:hint="default"/>
        <w:sz w:val="20"/>
      </w:rPr>
    </w:lvl>
    <w:lvl w:ilvl="8">
      <w:start w:val="1"/>
      <w:numFmt w:val="bullet"/>
      <w:lvlText w:val=""/>
      <w:lvlJc w:val="left"/>
      <w:pPr>
        <w:tabs>
          <w:tab w:val="num" w:pos="4253"/>
        </w:tabs>
        <w:ind w:left="4536" w:hanging="283"/>
      </w:pPr>
      <w:rPr>
        <w:rFonts w:ascii="Wingdings" w:hAnsi="Wingdings" w:hint="default"/>
        <w:sz w:val="20"/>
      </w:rPr>
    </w:lvl>
  </w:abstractNum>
  <w:abstractNum w:abstractNumId="25" w15:restartNumberingAfterBreak="0">
    <w:nsid w:val="676D0D4C"/>
    <w:multiLevelType w:val="hybridMultilevel"/>
    <w:tmpl w:val="C968337E"/>
    <w:lvl w:ilvl="0" w:tplc="7B1C6ECA">
      <w:start w:val="19"/>
      <w:numFmt w:val="bullet"/>
      <w:lvlText w:val="—"/>
      <w:lvlJc w:val="left"/>
      <w:pPr>
        <w:ind w:left="720" w:hanging="360"/>
      </w:pPr>
      <w:rPr>
        <w:rFonts w:ascii="Times New Roman" w:eastAsiaTheme="maj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C86BDB"/>
    <w:multiLevelType w:val="hybridMultilevel"/>
    <w:tmpl w:val="ABEAC88E"/>
    <w:lvl w:ilvl="0" w:tplc="5DC276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A9636C"/>
    <w:multiLevelType w:val="hybridMultilevel"/>
    <w:tmpl w:val="56D2122A"/>
    <w:lvl w:ilvl="0" w:tplc="7068A09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105F45"/>
    <w:multiLevelType w:val="hybridMultilevel"/>
    <w:tmpl w:val="E670DFB4"/>
    <w:lvl w:ilvl="0" w:tplc="772C35B8">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E60BFE"/>
    <w:multiLevelType w:val="multilevel"/>
    <w:tmpl w:val="7AB6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9488285">
    <w:abstractNumId w:val="5"/>
  </w:num>
  <w:num w:numId="2" w16cid:durableId="1885825581">
    <w:abstractNumId w:val="29"/>
  </w:num>
  <w:num w:numId="3" w16cid:durableId="323751087">
    <w:abstractNumId w:val="11"/>
  </w:num>
  <w:num w:numId="4" w16cid:durableId="1371878918">
    <w:abstractNumId w:val="17"/>
  </w:num>
  <w:num w:numId="5" w16cid:durableId="829440738">
    <w:abstractNumId w:val="15"/>
  </w:num>
  <w:num w:numId="6" w16cid:durableId="706180722">
    <w:abstractNumId w:val="6"/>
  </w:num>
  <w:num w:numId="7" w16cid:durableId="1342004254">
    <w:abstractNumId w:val="7"/>
  </w:num>
  <w:num w:numId="8" w16cid:durableId="834036027">
    <w:abstractNumId w:val="28"/>
  </w:num>
  <w:num w:numId="9" w16cid:durableId="1514143802">
    <w:abstractNumId w:val="0"/>
  </w:num>
  <w:num w:numId="10" w16cid:durableId="1299383810">
    <w:abstractNumId w:val="27"/>
  </w:num>
  <w:num w:numId="11" w16cid:durableId="984316764">
    <w:abstractNumId w:val="16"/>
  </w:num>
  <w:num w:numId="12" w16cid:durableId="1362781654">
    <w:abstractNumId w:val="26"/>
  </w:num>
  <w:num w:numId="13" w16cid:durableId="369959757">
    <w:abstractNumId w:val="3"/>
  </w:num>
  <w:num w:numId="14" w16cid:durableId="1797942302">
    <w:abstractNumId w:val="20"/>
  </w:num>
  <w:num w:numId="15" w16cid:durableId="1547596188">
    <w:abstractNumId w:val="18"/>
  </w:num>
  <w:num w:numId="16" w16cid:durableId="1019969386">
    <w:abstractNumId w:val="10"/>
  </w:num>
  <w:num w:numId="17" w16cid:durableId="1425688669">
    <w:abstractNumId w:val="24"/>
  </w:num>
  <w:num w:numId="18" w16cid:durableId="559363751">
    <w:abstractNumId w:val="21"/>
  </w:num>
  <w:num w:numId="19" w16cid:durableId="278491815">
    <w:abstractNumId w:val="25"/>
  </w:num>
  <w:num w:numId="20" w16cid:durableId="1708682108">
    <w:abstractNumId w:val="19"/>
  </w:num>
  <w:num w:numId="21" w16cid:durableId="301421481">
    <w:abstractNumId w:val="22"/>
  </w:num>
  <w:num w:numId="22" w16cid:durableId="52196166">
    <w:abstractNumId w:val="23"/>
  </w:num>
  <w:num w:numId="23" w16cid:durableId="874580602">
    <w:abstractNumId w:val="4"/>
  </w:num>
  <w:num w:numId="24" w16cid:durableId="1759716563">
    <w:abstractNumId w:val="1"/>
  </w:num>
  <w:num w:numId="25" w16cid:durableId="1219366444">
    <w:abstractNumId w:val="2"/>
  </w:num>
  <w:num w:numId="26" w16cid:durableId="1374303788">
    <w:abstractNumId w:val="12"/>
  </w:num>
  <w:num w:numId="27" w16cid:durableId="674962222">
    <w:abstractNumId w:val="9"/>
  </w:num>
  <w:num w:numId="28" w16cid:durableId="2007711178">
    <w:abstractNumId w:val="14"/>
  </w:num>
  <w:num w:numId="29" w16cid:durableId="1031960493">
    <w:abstractNumId w:val="13"/>
  </w:num>
  <w:num w:numId="30" w16cid:durableId="98955867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hrmann, Veronika">
    <w15:presenceInfo w15:providerId="AD" w15:userId="S::vfuhrm01@tufts.edu::8a89bd58-b6d3-4330-8f2e-36012650df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DE"/>
    <w:rsid w:val="0000176D"/>
    <w:rsid w:val="00007233"/>
    <w:rsid w:val="00010DF7"/>
    <w:rsid w:val="0001623A"/>
    <w:rsid w:val="0001733E"/>
    <w:rsid w:val="0002309C"/>
    <w:rsid w:val="00023C3C"/>
    <w:rsid w:val="00023EE6"/>
    <w:rsid w:val="00025A05"/>
    <w:rsid w:val="00026009"/>
    <w:rsid w:val="000328DA"/>
    <w:rsid w:val="000331EC"/>
    <w:rsid w:val="000346E9"/>
    <w:rsid w:val="00034A8C"/>
    <w:rsid w:val="00035ED3"/>
    <w:rsid w:val="00044DCB"/>
    <w:rsid w:val="00045054"/>
    <w:rsid w:val="000463F4"/>
    <w:rsid w:val="00050C1D"/>
    <w:rsid w:val="00050CEF"/>
    <w:rsid w:val="00052C9E"/>
    <w:rsid w:val="00055154"/>
    <w:rsid w:val="00056701"/>
    <w:rsid w:val="00056A05"/>
    <w:rsid w:val="00057F34"/>
    <w:rsid w:val="000603D8"/>
    <w:rsid w:val="000618E0"/>
    <w:rsid w:val="00062D26"/>
    <w:rsid w:val="00062E89"/>
    <w:rsid w:val="00062E9B"/>
    <w:rsid w:val="00065028"/>
    <w:rsid w:val="0007331C"/>
    <w:rsid w:val="000751B8"/>
    <w:rsid w:val="0007658B"/>
    <w:rsid w:val="00076825"/>
    <w:rsid w:val="00077D47"/>
    <w:rsid w:val="00080162"/>
    <w:rsid w:val="000810BF"/>
    <w:rsid w:val="00081366"/>
    <w:rsid w:val="00081B19"/>
    <w:rsid w:val="00083B9E"/>
    <w:rsid w:val="000842D6"/>
    <w:rsid w:val="00087036"/>
    <w:rsid w:val="00087DBE"/>
    <w:rsid w:val="000914C3"/>
    <w:rsid w:val="00093BA0"/>
    <w:rsid w:val="00094D41"/>
    <w:rsid w:val="0009686C"/>
    <w:rsid w:val="00096C58"/>
    <w:rsid w:val="000A017C"/>
    <w:rsid w:val="000A09FD"/>
    <w:rsid w:val="000A13F3"/>
    <w:rsid w:val="000A2E0B"/>
    <w:rsid w:val="000A44DA"/>
    <w:rsid w:val="000B02DB"/>
    <w:rsid w:val="000B26D2"/>
    <w:rsid w:val="000B5DAB"/>
    <w:rsid w:val="000B6AAB"/>
    <w:rsid w:val="000C2D23"/>
    <w:rsid w:val="000C4A79"/>
    <w:rsid w:val="000D17F7"/>
    <w:rsid w:val="000D241F"/>
    <w:rsid w:val="000D2EB8"/>
    <w:rsid w:val="000D470C"/>
    <w:rsid w:val="000D488F"/>
    <w:rsid w:val="000D6641"/>
    <w:rsid w:val="000D66DE"/>
    <w:rsid w:val="000E0AED"/>
    <w:rsid w:val="000E1CD5"/>
    <w:rsid w:val="000E2EEC"/>
    <w:rsid w:val="000E6058"/>
    <w:rsid w:val="000F29B9"/>
    <w:rsid w:val="000F3550"/>
    <w:rsid w:val="000F4C9E"/>
    <w:rsid w:val="000F58F6"/>
    <w:rsid w:val="000F5CB5"/>
    <w:rsid w:val="000F5EE7"/>
    <w:rsid w:val="000F6F90"/>
    <w:rsid w:val="000F77D1"/>
    <w:rsid w:val="001017C5"/>
    <w:rsid w:val="00102C41"/>
    <w:rsid w:val="00105640"/>
    <w:rsid w:val="00105CB0"/>
    <w:rsid w:val="0010632A"/>
    <w:rsid w:val="00106FA1"/>
    <w:rsid w:val="00107C7F"/>
    <w:rsid w:val="001118D9"/>
    <w:rsid w:val="00113B71"/>
    <w:rsid w:val="001140A6"/>
    <w:rsid w:val="00114DD1"/>
    <w:rsid w:val="001206EC"/>
    <w:rsid w:val="0012070E"/>
    <w:rsid w:val="00123478"/>
    <w:rsid w:val="0012433B"/>
    <w:rsid w:val="001265AC"/>
    <w:rsid w:val="00135471"/>
    <w:rsid w:val="001374B4"/>
    <w:rsid w:val="00140103"/>
    <w:rsid w:val="00140C70"/>
    <w:rsid w:val="00144604"/>
    <w:rsid w:val="00144B88"/>
    <w:rsid w:val="00144E20"/>
    <w:rsid w:val="001522B3"/>
    <w:rsid w:val="001531C3"/>
    <w:rsid w:val="0015513C"/>
    <w:rsid w:val="00156C70"/>
    <w:rsid w:val="00161C52"/>
    <w:rsid w:val="0016283D"/>
    <w:rsid w:val="001643CF"/>
    <w:rsid w:val="00165F51"/>
    <w:rsid w:val="00167BFE"/>
    <w:rsid w:val="001703A4"/>
    <w:rsid w:val="00171ABC"/>
    <w:rsid w:val="001726AB"/>
    <w:rsid w:val="001742AA"/>
    <w:rsid w:val="00175770"/>
    <w:rsid w:val="00180C12"/>
    <w:rsid w:val="00182234"/>
    <w:rsid w:val="00182D20"/>
    <w:rsid w:val="001863F5"/>
    <w:rsid w:val="001904F6"/>
    <w:rsid w:val="00190FBC"/>
    <w:rsid w:val="00192946"/>
    <w:rsid w:val="00192FA8"/>
    <w:rsid w:val="0019346A"/>
    <w:rsid w:val="0019436E"/>
    <w:rsid w:val="001963DE"/>
    <w:rsid w:val="00197921"/>
    <w:rsid w:val="001A12EB"/>
    <w:rsid w:val="001A311E"/>
    <w:rsid w:val="001A3572"/>
    <w:rsid w:val="001A6B76"/>
    <w:rsid w:val="001B03BC"/>
    <w:rsid w:val="001B12DE"/>
    <w:rsid w:val="001B2B5E"/>
    <w:rsid w:val="001B4B20"/>
    <w:rsid w:val="001B4E26"/>
    <w:rsid w:val="001B6611"/>
    <w:rsid w:val="001B6D6A"/>
    <w:rsid w:val="001C402B"/>
    <w:rsid w:val="001C45EA"/>
    <w:rsid w:val="001C4E97"/>
    <w:rsid w:val="001C5197"/>
    <w:rsid w:val="001C672F"/>
    <w:rsid w:val="001D1143"/>
    <w:rsid w:val="001D173B"/>
    <w:rsid w:val="001D4338"/>
    <w:rsid w:val="001D57BD"/>
    <w:rsid w:val="001D6A32"/>
    <w:rsid w:val="001D7C45"/>
    <w:rsid w:val="001E24D5"/>
    <w:rsid w:val="001E48DC"/>
    <w:rsid w:val="001E5E03"/>
    <w:rsid w:val="001E66C4"/>
    <w:rsid w:val="001F175B"/>
    <w:rsid w:val="001F177D"/>
    <w:rsid w:val="001F205E"/>
    <w:rsid w:val="001F21D2"/>
    <w:rsid w:val="001F253C"/>
    <w:rsid w:val="001F4210"/>
    <w:rsid w:val="001F7DEA"/>
    <w:rsid w:val="001F7E7B"/>
    <w:rsid w:val="00200621"/>
    <w:rsid w:val="00201117"/>
    <w:rsid w:val="002022B2"/>
    <w:rsid w:val="00202EC4"/>
    <w:rsid w:val="0020370D"/>
    <w:rsid w:val="00203E47"/>
    <w:rsid w:val="00205011"/>
    <w:rsid w:val="002056AB"/>
    <w:rsid w:val="00205D7D"/>
    <w:rsid w:val="00207184"/>
    <w:rsid w:val="002129A8"/>
    <w:rsid w:val="002148DE"/>
    <w:rsid w:val="00215DAA"/>
    <w:rsid w:val="00220D15"/>
    <w:rsid w:val="00220FBE"/>
    <w:rsid w:val="00224758"/>
    <w:rsid w:val="00224ECD"/>
    <w:rsid w:val="00225852"/>
    <w:rsid w:val="00230DAC"/>
    <w:rsid w:val="00230FE9"/>
    <w:rsid w:val="0023268A"/>
    <w:rsid w:val="00240D60"/>
    <w:rsid w:val="00241028"/>
    <w:rsid w:val="002415EE"/>
    <w:rsid w:val="002426C5"/>
    <w:rsid w:val="00245760"/>
    <w:rsid w:val="002471F7"/>
    <w:rsid w:val="0024752B"/>
    <w:rsid w:val="00247D61"/>
    <w:rsid w:val="00252986"/>
    <w:rsid w:val="00252CF3"/>
    <w:rsid w:val="00252D5F"/>
    <w:rsid w:val="00253BA0"/>
    <w:rsid w:val="002546E1"/>
    <w:rsid w:val="00255C12"/>
    <w:rsid w:val="00255EAC"/>
    <w:rsid w:val="0025664C"/>
    <w:rsid w:val="00257585"/>
    <w:rsid w:val="00257D23"/>
    <w:rsid w:val="00260ED7"/>
    <w:rsid w:val="00270A11"/>
    <w:rsid w:val="00271513"/>
    <w:rsid w:val="00272AC3"/>
    <w:rsid w:val="0027381A"/>
    <w:rsid w:val="002750E9"/>
    <w:rsid w:val="0027546E"/>
    <w:rsid w:val="002756F2"/>
    <w:rsid w:val="00280607"/>
    <w:rsid w:val="00280960"/>
    <w:rsid w:val="002811DD"/>
    <w:rsid w:val="0028135F"/>
    <w:rsid w:val="00287880"/>
    <w:rsid w:val="002913C6"/>
    <w:rsid w:val="0029310A"/>
    <w:rsid w:val="00296DA5"/>
    <w:rsid w:val="0029750E"/>
    <w:rsid w:val="002A093C"/>
    <w:rsid w:val="002A104A"/>
    <w:rsid w:val="002A2E02"/>
    <w:rsid w:val="002A32FA"/>
    <w:rsid w:val="002A4B57"/>
    <w:rsid w:val="002A53EF"/>
    <w:rsid w:val="002A6DD5"/>
    <w:rsid w:val="002B019D"/>
    <w:rsid w:val="002B126E"/>
    <w:rsid w:val="002B1F1E"/>
    <w:rsid w:val="002B2F20"/>
    <w:rsid w:val="002B3F37"/>
    <w:rsid w:val="002B4A84"/>
    <w:rsid w:val="002B4B9C"/>
    <w:rsid w:val="002B56C8"/>
    <w:rsid w:val="002B6D95"/>
    <w:rsid w:val="002C2058"/>
    <w:rsid w:val="002C4A81"/>
    <w:rsid w:val="002C4E0F"/>
    <w:rsid w:val="002C7236"/>
    <w:rsid w:val="002C74D6"/>
    <w:rsid w:val="002C7BD3"/>
    <w:rsid w:val="002D1342"/>
    <w:rsid w:val="002D1508"/>
    <w:rsid w:val="002D1EEF"/>
    <w:rsid w:val="002D3865"/>
    <w:rsid w:val="002E1F6E"/>
    <w:rsid w:val="002E200C"/>
    <w:rsid w:val="002E2496"/>
    <w:rsid w:val="002E346E"/>
    <w:rsid w:val="002E365B"/>
    <w:rsid w:val="002E6627"/>
    <w:rsid w:val="002F15FC"/>
    <w:rsid w:val="002F1873"/>
    <w:rsid w:val="002F3455"/>
    <w:rsid w:val="002F3DD2"/>
    <w:rsid w:val="00300C58"/>
    <w:rsid w:val="00301BA2"/>
    <w:rsid w:val="0030422C"/>
    <w:rsid w:val="00314732"/>
    <w:rsid w:val="0031599B"/>
    <w:rsid w:val="003168F8"/>
    <w:rsid w:val="00320AD6"/>
    <w:rsid w:val="003227CB"/>
    <w:rsid w:val="0032385A"/>
    <w:rsid w:val="0032571C"/>
    <w:rsid w:val="00326335"/>
    <w:rsid w:val="003334EB"/>
    <w:rsid w:val="003344D8"/>
    <w:rsid w:val="00334DC9"/>
    <w:rsid w:val="00336BD5"/>
    <w:rsid w:val="0033716F"/>
    <w:rsid w:val="003378CC"/>
    <w:rsid w:val="00340BE0"/>
    <w:rsid w:val="00341BD4"/>
    <w:rsid w:val="0034661C"/>
    <w:rsid w:val="00346805"/>
    <w:rsid w:val="00350750"/>
    <w:rsid w:val="00352224"/>
    <w:rsid w:val="00353DE5"/>
    <w:rsid w:val="00354F04"/>
    <w:rsid w:val="00355F8B"/>
    <w:rsid w:val="0035738E"/>
    <w:rsid w:val="003705EE"/>
    <w:rsid w:val="0037136B"/>
    <w:rsid w:val="00371AA6"/>
    <w:rsid w:val="00371FBD"/>
    <w:rsid w:val="00375F12"/>
    <w:rsid w:val="00381659"/>
    <w:rsid w:val="003855E5"/>
    <w:rsid w:val="0038708C"/>
    <w:rsid w:val="0039051B"/>
    <w:rsid w:val="00394BF2"/>
    <w:rsid w:val="00396619"/>
    <w:rsid w:val="003975B3"/>
    <w:rsid w:val="003A0947"/>
    <w:rsid w:val="003A0995"/>
    <w:rsid w:val="003A13D5"/>
    <w:rsid w:val="003A1F89"/>
    <w:rsid w:val="003A516A"/>
    <w:rsid w:val="003B0654"/>
    <w:rsid w:val="003B214D"/>
    <w:rsid w:val="003B349D"/>
    <w:rsid w:val="003B6D2B"/>
    <w:rsid w:val="003B7A39"/>
    <w:rsid w:val="003C4F66"/>
    <w:rsid w:val="003C53B1"/>
    <w:rsid w:val="003C6CEB"/>
    <w:rsid w:val="003D01A2"/>
    <w:rsid w:val="003D0700"/>
    <w:rsid w:val="003D191A"/>
    <w:rsid w:val="003D211D"/>
    <w:rsid w:val="003D3246"/>
    <w:rsid w:val="003D6B7B"/>
    <w:rsid w:val="003D7472"/>
    <w:rsid w:val="003E15EA"/>
    <w:rsid w:val="003E416F"/>
    <w:rsid w:val="003E53E2"/>
    <w:rsid w:val="003E63CE"/>
    <w:rsid w:val="003E65DE"/>
    <w:rsid w:val="003E79E4"/>
    <w:rsid w:val="003F089C"/>
    <w:rsid w:val="003F2719"/>
    <w:rsid w:val="003F3051"/>
    <w:rsid w:val="003F492D"/>
    <w:rsid w:val="003F5CE7"/>
    <w:rsid w:val="003F6B96"/>
    <w:rsid w:val="00400803"/>
    <w:rsid w:val="00401363"/>
    <w:rsid w:val="00401448"/>
    <w:rsid w:val="004020DE"/>
    <w:rsid w:val="00404D71"/>
    <w:rsid w:val="004056D6"/>
    <w:rsid w:val="004116DF"/>
    <w:rsid w:val="004129F5"/>
    <w:rsid w:val="00413ABE"/>
    <w:rsid w:val="00414C89"/>
    <w:rsid w:val="00415DF8"/>
    <w:rsid w:val="00416C48"/>
    <w:rsid w:val="004177C6"/>
    <w:rsid w:val="00417ABA"/>
    <w:rsid w:val="00417EC3"/>
    <w:rsid w:val="00420C38"/>
    <w:rsid w:val="00422A5B"/>
    <w:rsid w:val="00424B83"/>
    <w:rsid w:val="00424C9D"/>
    <w:rsid w:val="00425F18"/>
    <w:rsid w:val="00426450"/>
    <w:rsid w:val="004267A4"/>
    <w:rsid w:val="00433809"/>
    <w:rsid w:val="00435A57"/>
    <w:rsid w:val="004379BA"/>
    <w:rsid w:val="00441207"/>
    <w:rsid w:val="00444015"/>
    <w:rsid w:val="004474A4"/>
    <w:rsid w:val="0045145F"/>
    <w:rsid w:val="00453A05"/>
    <w:rsid w:val="0045433E"/>
    <w:rsid w:val="0045629E"/>
    <w:rsid w:val="0045678B"/>
    <w:rsid w:val="0045742F"/>
    <w:rsid w:val="00461977"/>
    <w:rsid w:val="00462CD6"/>
    <w:rsid w:val="00464061"/>
    <w:rsid w:val="00464907"/>
    <w:rsid w:val="00465741"/>
    <w:rsid w:val="00466086"/>
    <w:rsid w:val="00467473"/>
    <w:rsid w:val="00471903"/>
    <w:rsid w:val="0047217F"/>
    <w:rsid w:val="00473B56"/>
    <w:rsid w:val="004766E0"/>
    <w:rsid w:val="0047680B"/>
    <w:rsid w:val="00476EF8"/>
    <w:rsid w:val="0047785F"/>
    <w:rsid w:val="00483389"/>
    <w:rsid w:val="00483F5A"/>
    <w:rsid w:val="00483F98"/>
    <w:rsid w:val="00486A1B"/>
    <w:rsid w:val="00492785"/>
    <w:rsid w:val="004949D6"/>
    <w:rsid w:val="00496D5A"/>
    <w:rsid w:val="00497D8D"/>
    <w:rsid w:val="004A1C31"/>
    <w:rsid w:val="004A2EFE"/>
    <w:rsid w:val="004A3577"/>
    <w:rsid w:val="004A4172"/>
    <w:rsid w:val="004A7ACA"/>
    <w:rsid w:val="004B1134"/>
    <w:rsid w:val="004B1572"/>
    <w:rsid w:val="004B269C"/>
    <w:rsid w:val="004B2AF7"/>
    <w:rsid w:val="004B2C0C"/>
    <w:rsid w:val="004B316B"/>
    <w:rsid w:val="004B4CFB"/>
    <w:rsid w:val="004B5126"/>
    <w:rsid w:val="004B7771"/>
    <w:rsid w:val="004C0153"/>
    <w:rsid w:val="004C0442"/>
    <w:rsid w:val="004C2495"/>
    <w:rsid w:val="004C3A3C"/>
    <w:rsid w:val="004C44B1"/>
    <w:rsid w:val="004D36A0"/>
    <w:rsid w:val="004D4B19"/>
    <w:rsid w:val="004D763B"/>
    <w:rsid w:val="004E06E3"/>
    <w:rsid w:val="004E1859"/>
    <w:rsid w:val="004E2DDB"/>
    <w:rsid w:val="004E3923"/>
    <w:rsid w:val="004E4CBA"/>
    <w:rsid w:val="004E5D49"/>
    <w:rsid w:val="004E6660"/>
    <w:rsid w:val="004F4148"/>
    <w:rsid w:val="004F636F"/>
    <w:rsid w:val="004F6A3C"/>
    <w:rsid w:val="004F7877"/>
    <w:rsid w:val="00503E01"/>
    <w:rsid w:val="00504687"/>
    <w:rsid w:val="00504751"/>
    <w:rsid w:val="005052D0"/>
    <w:rsid w:val="00505FD3"/>
    <w:rsid w:val="00506C81"/>
    <w:rsid w:val="00507D00"/>
    <w:rsid w:val="00510ECF"/>
    <w:rsid w:val="005141AA"/>
    <w:rsid w:val="005216E2"/>
    <w:rsid w:val="005224E0"/>
    <w:rsid w:val="0052373E"/>
    <w:rsid w:val="00526B84"/>
    <w:rsid w:val="00527E3F"/>
    <w:rsid w:val="005321C3"/>
    <w:rsid w:val="005326E0"/>
    <w:rsid w:val="00533F44"/>
    <w:rsid w:val="005341EF"/>
    <w:rsid w:val="005349E3"/>
    <w:rsid w:val="005352C5"/>
    <w:rsid w:val="00535396"/>
    <w:rsid w:val="00536438"/>
    <w:rsid w:val="00543845"/>
    <w:rsid w:val="00544A6F"/>
    <w:rsid w:val="0054649C"/>
    <w:rsid w:val="0054718D"/>
    <w:rsid w:val="00552DF6"/>
    <w:rsid w:val="005545AF"/>
    <w:rsid w:val="00556909"/>
    <w:rsid w:val="00557276"/>
    <w:rsid w:val="00557D6F"/>
    <w:rsid w:val="00561048"/>
    <w:rsid w:val="00562F8D"/>
    <w:rsid w:val="00565944"/>
    <w:rsid w:val="00566FA1"/>
    <w:rsid w:val="0057170A"/>
    <w:rsid w:val="0057424E"/>
    <w:rsid w:val="00575488"/>
    <w:rsid w:val="00575542"/>
    <w:rsid w:val="005768C8"/>
    <w:rsid w:val="00577762"/>
    <w:rsid w:val="005777C4"/>
    <w:rsid w:val="0058002F"/>
    <w:rsid w:val="0058205C"/>
    <w:rsid w:val="005847DF"/>
    <w:rsid w:val="00584F9A"/>
    <w:rsid w:val="00591184"/>
    <w:rsid w:val="00591960"/>
    <w:rsid w:val="00593D96"/>
    <w:rsid w:val="00593DFC"/>
    <w:rsid w:val="005948C5"/>
    <w:rsid w:val="00595A9A"/>
    <w:rsid w:val="00596C46"/>
    <w:rsid w:val="005A00B9"/>
    <w:rsid w:val="005A0BC5"/>
    <w:rsid w:val="005A24AF"/>
    <w:rsid w:val="005A4283"/>
    <w:rsid w:val="005A701D"/>
    <w:rsid w:val="005A7203"/>
    <w:rsid w:val="005A72DD"/>
    <w:rsid w:val="005B188C"/>
    <w:rsid w:val="005B3E7C"/>
    <w:rsid w:val="005B66DA"/>
    <w:rsid w:val="005B7586"/>
    <w:rsid w:val="005B774D"/>
    <w:rsid w:val="005C1321"/>
    <w:rsid w:val="005C27DF"/>
    <w:rsid w:val="005C3C48"/>
    <w:rsid w:val="005C65AF"/>
    <w:rsid w:val="005C7299"/>
    <w:rsid w:val="005D1E26"/>
    <w:rsid w:val="005D2F5A"/>
    <w:rsid w:val="005D3D9D"/>
    <w:rsid w:val="005D3E8A"/>
    <w:rsid w:val="005D5158"/>
    <w:rsid w:val="005E10AD"/>
    <w:rsid w:val="005E2C09"/>
    <w:rsid w:val="005E3A20"/>
    <w:rsid w:val="005E3D72"/>
    <w:rsid w:val="005E47D9"/>
    <w:rsid w:val="005E704A"/>
    <w:rsid w:val="005E7E90"/>
    <w:rsid w:val="005F0E06"/>
    <w:rsid w:val="005F1533"/>
    <w:rsid w:val="005F17E3"/>
    <w:rsid w:val="005F209B"/>
    <w:rsid w:val="005F2362"/>
    <w:rsid w:val="005F3FBC"/>
    <w:rsid w:val="005F4158"/>
    <w:rsid w:val="005F5896"/>
    <w:rsid w:val="005F7220"/>
    <w:rsid w:val="00606637"/>
    <w:rsid w:val="00610B3C"/>
    <w:rsid w:val="00615E03"/>
    <w:rsid w:val="00616119"/>
    <w:rsid w:val="0061659D"/>
    <w:rsid w:val="0062041E"/>
    <w:rsid w:val="00620AEA"/>
    <w:rsid w:val="0062381C"/>
    <w:rsid w:val="00624997"/>
    <w:rsid w:val="00624E64"/>
    <w:rsid w:val="006262DE"/>
    <w:rsid w:val="00627481"/>
    <w:rsid w:val="00630FFF"/>
    <w:rsid w:val="006329BC"/>
    <w:rsid w:val="00632E41"/>
    <w:rsid w:val="00633869"/>
    <w:rsid w:val="0063488C"/>
    <w:rsid w:val="006374A0"/>
    <w:rsid w:val="00637B89"/>
    <w:rsid w:val="00640D75"/>
    <w:rsid w:val="00641EBC"/>
    <w:rsid w:val="00643339"/>
    <w:rsid w:val="00644118"/>
    <w:rsid w:val="00645AF0"/>
    <w:rsid w:val="006462E3"/>
    <w:rsid w:val="00647449"/>
    <w:rsid w:val="00652394"/>
    <w:rsid w:val="006537E1"/>
    <w:rsid w:val="00655010"/>
    <w:rsid w:val="00656188"/>
    <w:rsid w:val="00656636"/>
    <w:rsid w:val="006611EE"/>
    <w:rsid w:val="00662CBC"/>
    <w:rsid w:val="00671725"/>
    <w:rsid w:val="006720B7"/>
    <w:rsid w:val="006767D7"/>
    <w:rsid w:val="0068132B"/>
    <w:rsid w:val="00682C46"/>
    <w:rsid w:val="00686443"/>
    <w:rsid w:val="00687CE0"/>
    <w:rsid w:val="00690B84"/>
    <w:rsid w:val="00695125"/>
    <w:rsid w:val="00696F71"/>
    <w:rsid w:val="00697B89"/>
    <w:rsid w:val="006A5067"/>
    <w:rsid w:val="006A5B49"/>
    <w:rsid w:val="006A6897"/>
    <w:rsid w:val="006A7B47"/>
    <w:rsid w:val="006A7F5E"/>
    <w:rsid w:val="006B1332"/>
    <w:rsid w:val="006B21AE"/>
    <w:rsid w:val="006B27DF"/>
    <w:rsid w:val="006B5291"/>
    <w:rsid w:val="006B68CB"/>
    <w:rsid w:val="006B76AE"/>
    <w:rsid w:val="006C11F3"/>
    <w:rsid w:val="006C29A4"/>
    <w:rsid w:val="006C356A"/>
    <w:rsid w:val="006C6B78"/>
    <w:rsid w:val="006D0C43"/>
    <w:rsid w:val="006D797C"/>
    <w:rsid w:val="006E13D2"/>
    <w:rsid w:val="006E1790"/>
    <w:rsid w:val="006E31DF"/>
    <w:rsid w:val="006E480E"/>
    <w:rsid w:val="006E5310"/>
    <w:rsid w:val="006E5DE4"/>
    <w:rsid w:val="006E69F5"/>
    <w:rsid w:val="006E6FBA"/>
    <w:rsid w:val="006F18C9"/>
    <w:rsid w:val="006F2683"/>
    <w:rsid w:val="006F56F4"/>
    <w:rsid w:val="00702447"/>
    <w:rsid w:val="007025BF"/>
    <w:rsid w:val="0070634A"/>
    <w:rsid w:val="00706D32"/>
    <w:rsid w:val="00711159"/>
    <w:rsid w:val="00714158"/>
    <w:rsid w:val="00714DB1"/>
    <w:rsid w:val="00716C9E"/>
    <w:rsid w:val="00716D6C"/>
    <w:rsid w:val="00722B9E"/>
    <w:rsid w:val="00722DAA"/>
    <w:rsid w:val="00724A21"/>
    <w:rsid w:val="00725CB2"/>
    <w:rsid w:val="007268D0"/>
    <w:rsid w:val="00726B56"/>
    <w:rsid w:val="00730762"/>
    <w:rsid w:val="00735F32"/>
    <w:rsid w:val="0073637B"/>
    <w:rsid w:val="0074351A"/>
    <w:rsid w:val="00745872"/>
    <w:rsid w:val="0074624E"/>
    <w:rsid w:val="00751F00"/>
    <w:rsid w:val="00752CE5"/>
    <w:rsid w:val="0075309E"/>
    <w:rsid w:val="007539D1"/>
    <w:rsid w:val="00754B75"/>
    <w:rsid w:val="007568F5"/>
    <w:rsid w:val="00761FE6"/>
    <w:rsid w:val="007627C3"/>
    <w:rsid w:val="00762D7C"/>
    <w:rsid w:val="00764BE6"/>
    <w:rsid w:val="007703DA"/>
    <w:rsid w:val="00771D9D"/>
    <w:rsid w:val="007731BD"/>
    <w:rsid w:val="00774C0D"/>
    <w:rsid w:val="00776F9A"/>
    <w:rsid w:val="0078003E"/>
    <w:rsid w:val="00782BDA"/>
    <w:rsid w:val="007837A2"/>
    <w:rsid w:val="00784148"/>
    <w:rsid w:val="00786F7B"/>
    <w:rsid w:val="0078726C"/>
    <w:rsid w:val="00792399"/>
    <w:rsid w:val="00792EB2"/>
    <w:rsid w:val="00796A56"/>
    <w:rsid w:val="007A04BF"/>
    <w:rsid w:val="007A2895"/>
    <w:rsid w:val="007A3864"/>
    <w:rsid w:val="007A3A59"/>
    <w:rsid w:val="007A4F3C"/>
    <w:rsid w:val="007A4F97"/>
    <w:rsid w:val="007A57DB"/>
    <w:rsid w:val="007A6005"/>
    <w:rsid w:val="007A75D8"/>
    <w:rsid w:val="007A7B7B"/>
    <w:rsid w:val="007B24B2"/>
    <w:rsid w:val="007B252A"/>
    <w:rsid w:val="007B26D7"/>
    <w:rsid w:val="007B4D9C"/>
    <w:rsid w:val="007B4F17"/>
    <w:rsid w:val="007B51C0"/>
    <w:rsid w:val="007B692B"/>
    <w:rsid w:val="007B6F0F"/>
    <w:rsid w:val="007B719A"/>
    <w:rsid w:val="007B7264"/>
    <w:rsid w:val="007C18D9"/>
    <w:rsid w:val="007C63C7"/>
    <w:rsid w:val="007C7664"/>
    <w:rsid w:val="007D003C"/>
    <w:rsid w:val="007D1A84"/>
    <w:rsid w:val="007D6A58"/>
    <w:rsid w:val="007E12DA"/>
    <w:rsid w:val="007E2893"/>
    <w:rsid w:val="007F49DB"/>
    <w:rsid w:val="007F627E"/>
    <w:rsid w:val="007F67F8"/>
    <w:rsid w:val="00800B41"/>
    <w:rsid w:val="00806CBD"/>
    <w:rsid w:val="008074FB"/>
    <w:rsid w:val="0080770D"/>
    <w:rsid w:val="008130B1"/>
    <w:rsid w:val="0081457E"/>
    <w:rsid w:val="008148B7"/>
    <w:rsid w:val="00816A14"/>
    <w:rsid w:val="00824A7C"/>
    <w:rsid w:val="00826088"/>
    <w:rsid w:val="00827623"/>
    <w:rsid w:val="0083136C"/>
    <w:rsid w:val="00831720"/>
    <w:rsid w:val="008350C3"/>
    <w:rsid w:val="0083613E"/>
    <w:rsid w:val="00837DBB"/>
    <w:rsid w:val="0084008E"/>
    <w:rsid w:val="0084130B"/>
    <w:rsid w:val="00842D33"/>
    <w:rsid w:val="00843942"/>
    <w:rsid w:val="008448A0"/>
    <w:rsid w:val="00851A12"/>
    <w:rsid w:val="0085396F"/>
    <w:rsid w:val="00855A99"/>
    <w:rsid w:val="00856468"/>
    <w:rsid w:val="008617B1"/>
    <w:rsid w:val="00862070"/>
    <w:rsid w:val="00872C7F"/>
    <w:rsid w:val="00875229"/>
    <w:rsid w:val="008775FF"/>
    <w:rsid w:val="008802B7"/>
    <w:rsid w:val="0088677C"/>
    <w:rsid w:val="00890807"/>
    <w:rsid w:val="0089198F"/>
    <w:rsid w:val="0089432D"/>
    <w:rsid w:val="0089541E"/>
    <w:rsid w:val="008A057E"/>
    <w:rsid w:val="008A1EF4"/>
    <w:rsid w:val="008A28A5"/>
    <w:rsid w:val="008A343C"/>
    <w:rsid w:val="008A5FAF"/>
    <w:rsid w:val="008A6382"/>
    <w:rsid w:val="008B480B"/>
    <w:rsid w:val="008B637B"/>
    <w:rsid w:val="008B71D5"/>
    <w:rsid w:val="008C045B"/>
    <w:rsid w:val="008C58E2"/>
    <w:rsid w:val="008C705A"/>
    <w:rsid w:val="008C7546"/>
    <w:rsid w:val="008D6BF1"/>
    <w:rsid w:val="008D7344"/>
    <w:rsid w:val="008E263A"/>
    <w:rsid w:val="008E2A36"/>
    <w:rsid w:val="008E6F2E"/>
    <w:rsid w:val="008F06AB"/>
    <w:rsid w:val="008F0F41"/>
    <w:rsid w:val="008F2419"/>
    <w:rsid w:val="008F3D72"/>
    <w:rsid w:val="00902D31"/>
    <w:rsid w:val="009043F0"/>
    <w:rsid w:val="00904838"/>
    <w:rsid w:val="0091593B"/>
    <w:rsid w:val="00917EC1"/>
    <w:rsid w:val="0092033B"/>
    <w:rsid w:val="00921B85"/>
    <w:rsid w:val="00922F83"/>
    <w:rsid w:val="00923FCE"/>
    <w:rsid w:val="00924F18"/>
    <w:rsid w:val="009308BF"/>
    <w:rsid w:val="009314FE"/>
    <w:rsid w:val="00932D6B"/>
    <w:rsid w:val="009340A6"/>
    <w:rsid w:val="00940BF2"/>
    <w:rsid w:val="00941C60"/>
    <w:rsid w:val="00941C90"/>
    <w:rsid w:val="009423BE"/>
    <w:rsid w:val="009438ED"/>
    <w:rsid w:val="00944A08"/>
    <w:rsid w:val="00944E43"/>
    <w:rsid w:val="00950DFF"/>
    <w:rsid w:val="0095147C"/>
    <w:rsid w:val="00952995"/>
    <w:rsid w:val="00954786"/>
    <w:rsid w:val="00955A52"/>
    <w:rsid w:val="00955EB9"/>
    <w:rsid w:val="0095741A"/>
    <w:rsid w:val="009619ED"/>
    <w:rsid w:val="009633ED"/>
    <w:rsid w:val="009636C3"/>
    <w:rsid w:val="00963E6A"/>
    <w:rsid w:val="00965E0B"/>
    <w:rsid w:val="0097278B"/>
    <w:rsid w:val="00973C6F"/>
    <w:rsid w:val="009743E0"/>
    <w:rsid w:val="00977760"/>
    <w:rsid w:val="009843B9"/>
    <w:rsid w:val="00986337"/>
    <w:rsid w:val="00986C32"/>
    <w:rsid w:val="00987053"/>
    <w:rsid w:val="009902DA"/>
    <w:rsid w:val="0099062C"/>
    <w:rsid w:val="009934C4"/>
    <w:rsid w:val="009945AA"/>
    <w:rsid w:val="00996A74"/>
    <w:rsid w:val="00997CA9"/>
    <w:rsid w:val="009A00AF"/>
    <w:rsid w:val="009A1183"/>
    <w:rsid w:val="009A1CC7"/>
    <w:rsid w:val="009A2F12"/>
    <w:rsid w:val="009A3434"/>
    <w:rsid w:val="009A3448"/>
    <w:rsid w:val="009A3709"/>
    <w:rsid w:val="009A3944"/>
    <w:rsid w:val="009A5956"/>
    <w:rsid w:val="009A5AB3"/>
    <w:rsid w:val="009B424B"/>
    <w:rsid w:val="009C0020"/>
    <w:rsid w:val="009C15C7"/>
    <w:rsid w:val="009C4601"/>
    <w:rsid w:val="009C57A0"/>
    <w:rsid w:val="009C5EF2"/>
    <w:rsid w:val="009D18BF"/>
    <w:rsid w:val="009D3797"/>
    <w:rsid w:val="009D67AE"/>
    <w:rsid w:val="009D795E"/>
    <w:rsid w:val="009D7B3A"/>
    <w:rsid w:val="009E1194"/>
    <w:rsid w:val="009E3305"/>
    <w:rsid w:val="009E3BD8"/>
    <w:rsid w:val="009E60D4"/>
    <w:rsid w:val="009E64F2"/>
    <w:rsid w:val="009F1E2D"/>
    <w:rsid w:val="009F3C75"/>
    <w:rsid w:val="009F5C39"/>
    <w:rsid w:val="009F6705"/>
    <w:rsid w:val="00A005B8"/>
    <w:rsid w:val="00A00BA6"/>
    <w:rsid w:val="00A00FDC"/>
    <w:rsid w:val="00A0193D"/>
    <w:rsid w:val="00A02CBA"/>
    <w:rsid w:val="00A05C94"/>
    <w:rsid w:val="00A11AAD"/>
    <w:rsid w:val="00A16600"/>
    <w:rsid w:val="00A21163"/>
    <w:rsid w:val="00A214E8"/>
    <w:rsid w:val="00A2268D"/>
    <w:rsid w:val="00A242BA"/>
    <w:rsid w:val="00A25468"/>
    <w:rsid w:val="00A33D5B"/>
    <w:rsid w:val="00A42B0D"/>
    <w:rsid w:val="00A45E70"/>
    <w:rsid w:val="00A467AF"/>
    <w:rsid w:val="00A47701"/>
    <w:rsid w:val="00A50AF2"/>
    <w:rsid w:val="00A529A9"/>
    <w:rsid w:val="00A6032B"/>
    <w:rsid w:val="00A603DD"/>
    <w:rsid w:val="00A60C93"/>
    <w:rsid w:val="00A62CCD"/>
    <w:rsid w:val="00A63083"/>
    <w:rsid w:val="00A64139"/>
    <w:rsid w:val="00A66B18"/>
    <w:rsid w:val="00A66DF4"/>
    <w:rsid w:val="00A71715"/>
    <w:rsid w:val="00A71C70"/>
    <w:rsid w:val="00A7375C"/>
    <w:rsid w:val="00A76BD8"/>
    <w:rsid w:val="00A77751"/>
    <w:rsid w:val="00A77A34"/>
    <w:rsid w:val="00A826B6"/>
    <w:rsid w:val="00A838DC"/>
    <w:rsid w:val="00A8528A"/>
    <w:rsid w:val="00A90A07"/>
    <w:rsid w:val="00A90EB3"/>
    <w:rsid w:val="00A92EF1"/>
    <w:rsid w:val="00A95884"/>
    <w:rsid w:val="00A971C0"/>
    <w:rsid w:val="00AA00FF"/>
    <w:rsid w:val="00AA1385"/>
    <w:rsid w:val="00AA1C48"/>
    <w:rsid w:val="00AA58B6"/>
    <w:rsid w:val="00AB3AE1"/>
    <w:rsid w:val="00AC0789"/>
    <w:rsid w:val="00AC2846"/>
    <w:rsid w:val="00AC3612"/>
    <w:rsid w:val="00AC397A"/>
    <w:rsid w:val="00AC5DBC"/>
    <w:rsid w:val="00AC6305"/>
    <w:rsid w:val="00AC65E1"/>
    <w:rsid w:val="00AC70E3"/>
    <w:rsid w:val="00AD132D"/>
    <w:rsid w:val="00AD1AF0"/>
    <w:rsid w:val="00AD2C72"/>
    <w:rsid w:val="00AD2CE2"/>
    <w:rsid w:val="00AD6653"/>
    <w:rsid w:val="00AD6AB6"/>
    <w:rsid w:val="00AD6D38"/>
    <w:rsid w:val="00AF2F7A"/>
    <w:rsid w:val="00AF53C1"/>
    <w:rsid w:val="00AF5DAC"/>
    <w:rsid w:val="00AF73E0"/>
    <w:rsid w:val="00AF741B"/>
    <w:rsid w:val="00B00F75"/>
    <w:rsid w:val="00B01166"/>
    <w:rsid w:val="00B0158C"/>
    <w:rsid w:val="00B05273"/>
    <w:rsid w:val="00B05B27"/>
    <w:rsid w:val="00B063BA"/>
    <w:rsid w:val="00B07291"/>
    <w:rsid w:val="00B1211D"/>
    <w:rsid w:val="00B12FF0"/>
    <w:rsid w:val="00B143CE"/>
    <w:rsid w:val="00B1593D"/>
    <w:rsid w:val="00B16402"/>
    <w:rsid w:val="00B204FD"/>
    <w:rsid w:val="00B21176"/>
    <w:rsid w:val="00B23510"/>
    <w:rsid w:val="00B2384B"/>
    <w:rsid w:val="00B23A2A"/>
    <w:rsid w:val="00B25B4B"/>
    <w:rsid w:val="00B26F30"/>
    <w:rsid w:val="00B318B4"/>
    <w:rsid w:val="00B31D62"/>
    <w:rsid w:val="00B353D8"/>
    <w:rsid w:val="00B35A82"/>
    <w:rsid w:val="00B36418"/>
    <w:rsid w:val="00B3669C"/>
    <w:rsid w:val="00B36D4F"/>
    <w:rsid w:val="00B37B55"/>
    <w:rsid w:val="00B403E3"/>
    <w:rsid w:val="00B41945"/>
    <w:rsid w:val="00B4327F"/>
    <w:rsid w:val="00B43325"/>
    <w:rsid w:val="00B43D2C"/>
    <w:rsid w:val="00B44515"/>
    <w:rsid w:val="00B52C0D"/>
    <w:rsid w:val="00B52D99"/>
    <w:rsid w:val="00B54DDC"/>
    <w:rsid w:val="00B55118"/>
    <w:rsid w:val="00B553D8"/>
    <w:rsid w:val="00B601EB"/>
    <w:rsid w:val="00B60620"/>
    <w:rsid w:val="00B62DCC"/>
    <w:rsid w:val="00B6550C"/>
    <w:rsid w:val="00B70F6E"/>
    <w:rsid w:val="00B72DA6"/>
    <w:rsid w:val="00B73D08"/>
    <w:rsid w:val="00B73E2E"/>
    <w:rsid w:val="00B75B59"/>
    <w:rsid w:val="00B75BBF"/>
    <w:rsid w:val="00B76F41"/>
    <w:rsid w:val="00B81847"/>
    <w:rsid w:val="00B82F4E"/>
    <w:rsid w:val="00B85639"/>
    <w:rsid w:val="00B8595E"/>
    <w:rsid w:val="00B91A80"/>
    <w:rsid w:val="00B923A6"/>
    <w:rsid w:val="00B94B88"/>
    <w:rsid w:val="00B954F9"/>
    <w:rsid w:val="00B95D7A"/>
    <w:rsid w:val="00BA0810"/>
    <w:rsid w:val="00BA08C3"/>
    <w:rsid w:val="00BA2975"/>
    <w:rsid w:val="00BA3359"/>
    <w:rsid w:val="00BA4A04"/>
    <w:rsid w:val="00BA56E5"/>
    <w:rsid w:val="00BA5CAE"/>
    <w:rsid w:val="00BB153B"/>
    <w:rsid w:val="00BB34D6"/>
    <w:rsid w:val="00BB7AB4"/>
    <w:rsid w:val="00BC20A6"/>
    <w:rsid w:val="00BC46EE"/>
    <w:rsid w:val="00BD2B2E"/>
    <w:rsid w:val="00BD2D7C"/>
    <w:rsid w:val="00BD57F8"/>
    <w:rsid w:val="00BE05EC"/>
    <w:rsid w:val="00BE0FBA"/>
    <w:rsid w:val="00BE1FEC"/>
    <w:rsid w:val="00BE2027"/>
    <w:rsid w:val="00BE216E"/>
    <w:rsid w:val="00BE4FFB"/>
    <w:rsid w:val="00BE592D"/>
    <w:rsid w:val="00BE5F74"/>
    <w:rsid w:val="00BE6BE8"/>
    <w:rsid w:val="00BE7FD3"/>
    <w:rsid w:val="00BF0CBD"/>
    <w:rsid w:val="00BF254E"/>
    <w:rsid w:val="00BF30BB"/>
    <w:rsid w:val="00BF5554"/>
    <w:rsid w:val="00BF63A9"/>
    <w:rsid w:val="00C02DFB"/>
    <w:rsid w:val="00C051D4"/>
    <w:rsid w:val="00C0726E"/>
    <w:rsid w:val="00C07622"/>
    <w:rsid w:val="00C1016F"/>
    <w:rsid w:val="00C10AD4"/>
    <w:rsid w:val="00C1238D"/>
    <w:rsid w:val="00C12B68"/>
    <w:rsid w:val="00C1364F"/>
    <w:rsid w:val="00C13F37"/>
    <w:rsid w:val="00C210A1"/>
    <w:rsid w:val="00C22ACA"/>
    <w:rsid w:val="00C23162"/>
    <w:rsid w:val="00C25A59"/>
    <w:rsid w:val="00C26088"/>
    <w:rsid w:val="00C26350"/>
    <w:rsid w:val="00C3032F"/>
    <w:rsid w:val="00C30D16"/>
    <w:rsid w:val="00C3101F"/>
    <w:rsid w:val="00C31790"/>
    <w:rsid w:val="00C357DC"/>
    <w:rsid w:val="00C35E5D"/>
    <w:rsid w:val="00C3646D"/>
    <w:rsid w:val="00C438DE"/>
    <w:rsid w:val="00C43B8E"/>
    <w:rsid w:val="00C44337"/>
    <w:rsid w:val="00C45AF6"/>
    <w:rsid w:val="00C50216"/>
    <w:rsid w:val="00C524FB"/>
    <w:rsid w:val="00C528E3"/>
    <w:rsid w:val="00C558BE"/>
    <w:rsid w:val="00C6007B"/>
    <w:rsid w:val="00C612B5"/>
    <w:rsid w:val="00C6703D"/>
    <w:rsid w:val="00C67763"/>
    <w:rsid w:val="00C71D2A"/>
    <w:rsid w:val="00C75B54"/>
    <w:rsid w:val="00C76CAE"/>
    <w:rsid w:val="00C80A9A"/>
    <w:rsid w:val="00C81098"/>
    <w:rsid w:val="00C84244"/>
    <w:rsid w:val="00C84BDF"/>
    <w:rsid w:val="00C84FF2"/>
    <w:rsid w:val="00C8589A"/>
    <w:rsid w:val="00C8609F"/>
    <w:rsid w:val="00C871A2"/>
    <w:rsid w:val="00C9109D"/>
    <w:rsid w:val="00C91A40"/>
    <w:rsid w:val="00C91B56"/>
    <w:rsid w:val="00C92143"/>
    <w:rsid w:val="00C932B5"/>
    <w:rsid w:val="00C96364"/>
    <w:rsid w:val="00CA1A94"/>
    <w:rsid w:val="00CA278C"/>
    <w:rsid w:val="00CA533A"/>
    <w:rsid w:val="00CA56C0"/>
    <w:rsid w:val="00CB1725"/>
    <w:rsid w:val="00CB4337"/>
    <w:rsid w:val="00CB5BD0"/>
    <w:rsid w:val="00CB7763"/>
    <w:rsid w:val="00CB78C9"/>
    <w:rsid w:val="00CC0E9C"/>
    <w:rsid w:val="00CC1227"/>
    <w:rsid w:val="00CC32D6"/>
    <w:rsid w:val="00CC362F"/>
    <w:rsid w:val="00CC3895"/>
    <w:rsid w:val="00CC54B2"/>
    <w:rsid w:val="00CC58E2"/>
    <w:rsid w:val="00CD31C8"/>
    <w:rsid w:val="00CD4562"/>
    <w:rsid w:val="00CD698A"/>
    <w:rsid w:val="00CE2A33"/>
    <w:rsid w:val="00CE39DB"/>
    <w:rsid w:val="00CE486B"/>
    <w:rsid w:val="00CE583F"/>
    <w:rsid w:val="00CE6C9C"/>
    <w:rsid w:val="00CE7F05"/>
    <w:rsid w:val="00CF0429"/>
    <w:rsid w:val="00CF2E0A"/>
    <w:rsid w:val="00CF31D3"/>
    <w:rsid w:val="00CF48B1"/>
    <w:rsid w:val="00CF6218"/>
    <w:rsid w:val="00CF7A13"/>
    <w:rsid w:val="00D010C2"/>
    <w:rsid w:val="00D03583"/>
    <w:rsid w:val="00D0538C"/>
    <w:rsid w:val="00D05A31"/>
    <w:rsid w:val="00D06990"/>
    <w:rsid w:val="00D06B6B"/>
    <w:rsid w:val="00D10F26"/>
    <w:rsid w:val="00D13A20"/>
    <w:rsid w:val="00D15977"/>
    <w:rsid w:val="00D15F0F"/>
    <w:rsid w:val="00D16076"/>
    <w:rsid w:val="00D20A3C"/>
    <w:rsid w:val="00D24000"/>
    <w:rsid w:val="00D250C8"/>
    <w:rsid w:val="00D25383"/>
    <w:rsid w:val="00D2792E"/>
    <w:rsid w:val="00D33C09"/>
    <w:rsid w:val="00D35CAC"/>
    <w:rsid w:val="00D36514"/>
    <w:rsid w:val="00D36D47"/>
    <w:rsid w:val="00D4062B"/>
    <w:rsid w:val="00D412D8"/>
    <w:rsid w:val="00D43C7F"/>
    <w:rsid w:val="00D4496A"/>
    <w:rsid w:val="00D45124"/>
    <w:rsid w:val="00D529F2"/>
    <w:rsid w:val="00D53C7D"/>
    <w:rsid w:val="00D54EAD"/>
    <w:rsid w:val="00D573CF"/>
    <w:rsid w:val="00D5794A"/>
    <w:rsid w:val="00D579A5"/>
    <w:rsid w:val="00D634B7"/>
    <w:rsid w:val="00D705CD"/>
    <w:rsid w:val="00D76205"/>
    <w:rsid w:val="00D764F1"/>
    <w:rsid w:val="00D80171"/>
    <w:rsid w:val="00D80D9D"/>
    <w:rsid w:val="00D81A63"/>
    <w:rsid w:val="00D82CE4"/>
    <w:rsid w:val="00D835D4"/>
    <w:rsid w:val="00D854D4"/>
    <w:rsid w:val="00D870F9"/>
    <w:rsid w:val="00D87F61"/>
    <w:rsid w:val="00D90AA6"/>
    <w:rsid w:val="00D91017"/>
    <w:rsid w:val="00D9146F"/>
    <w:rsid w:val="00D9331F"/>
    <w:rsid w:val="00D9353C"/>
    <w:rsid w:val="00DA2885"/>
    <w:rsid w:val="00DA4C1D"/>
    <w:rsid w:val="00DB0006"/>
    <w:rsid w:val="00DB0947"/>
    <w:rsid w:val="00DB108A"/>
    <w:rsid w:val="00DB5430"/>
    <w:rsid w:val="00DB67D3"/>
    <w:rsid w:val="00DB7D7C"/>
    <w:rsid w:val="00DC139D"/>
    <w:rsid w:val="00DC21FB"/>
    <w:rsid w:val="00DC3544"/>
    <w:rsid w:val="00DC5934"/>
    <w:rsid w:val="00DC5F41"/>
    <w:rsid w:val="00DC725C"/>
    <w:rsid w:val="00DD1009"/>
    <w:rsid w:val="00DD258D"/>
    <w:rsid w:val="00DD3393"/>
    <w:rsid w:val="00DD35EC"/>
    <w:rsid w:val="00DE2007"/>
    <w:rsid w:val="00DE634D"/>
    <w:rsid w:val="00DE7E3E"/>
    <w:rsid w:val="00DE7F10"/>
    <w:rsid w:val="00DF021B"/>
    <w:rsid w:val="00DF1384"/>
    <w:rsid w:val="00DF2B9B"/>
    <w:rsid w:val="00DF43A8"/>
    <w:rsid w:val="00DF509D"/>
    <w:rsid w:val="00DF591F"/>
    <w:rsid w:val="00DF69C9"/>
    <w:rsid w:val="00DF72F9"/>
    <w:rsid w:val="00DF77DC"/>
    <w:rsid w:val="00DF7FEE"/>
    <w:rsid w:val="00E00562"/>
    <w:rsid w:val="00E03BF7"/>
    <w:rsid w:val="00E04C49"/>
    <w:rsid w:val="00E06437"/>
    <w:rsid w:val="00E075D9"/>
    <w:rsid w:val="00E10C6D"/>
    <w:rsid w:val="00E123FE"/>
    <w:rsid w:val="00E1250B"/>
    <w:rsid w:val="00E17EF6"/>
    <w:rsid w:val="00E218EE"/>
    <w:rsid w:val="00E2254E"/>
    <w:rsid w:val="00E22BED"/>
    <w:rsid w:val="00E246E0"/>
    <w:rsid w:val="00E24F61"/>
    <w:rsid w:val="00E266CF"/>
    <w:rsid w:val="00E34237"/>
    <w:rsid w:val="00E346E6"/>
    <w:rsid w:val="00E34C65"/>
    <w:rsid w:val="00E35222"/>
    <w:rsid w:val="00E35B59"/>
    <w:rsid w:val="00E36CFF"/>
    <w:rsid w:val="00E370DA"/>
    <w:rsid w:val="00E4273B"/>
    <w:rsid w:val="00E43BCA"/>
    <w:rsid w:val="00E47D23"/>
    <w:rsid w:val="00E52872"/>
    <w:rsid w:val="00E5343E"/>
    <w:rsid w:val="00E54DF1"/>
    <w:rsid w:val="00E6294A"/>
    <w:rsid w:val="00E64B8C"/>
    <w:rsid w:val="00E67648"/>
    <w:rsid w:val="00E702BC"/>
    <w:rsid w:val="00E70B27"/>
    <w:rsid w:val="00E7483C"/>
    <w:rsid w:val="00E77C08"/>
    <w:rsid w:val="00E804E1"/>
    <w:rsid w:val="00E81CC7"/>
    <w:rsid w:val="00E82B55"/>
    <w:rsid w:val="00E84E9C"/>
    <w:rsid w:val="00E952C0"/>
    <w:rsid w:val="00E9654A"/>
    <w:rsid w:val="00E97FBA"/>
    <w:rsid w:val="00EA1A36"/>
    <w:rsid w:val="00EA3973"/>
    <w:rsid w:val="00EA3D09"/>
    <w:rsid w:val="00EA5880"/>
    <w:rsid w:val="00EA64F5"/>
    <w:rsid w:val="00EA6D3F"/>
    <w:rsid w:val="00EB08A3"/>
    <w:rsid w:val="00EB0CD6"/>
    <w:rsid w:val="00EB2FC9"/>
    <w:rsid w:val="00EB7CD7"/>
    <w:rsid w:val="00EC10D2"/>
    <w:rsid w:val="00EC6D0C"/>
    <w:rsid w:val="00EC727C"/>
    <w:rsid w:val="00ED0FFD"/>
    <w:rsid w:val="00ED245E"/>
    <w:rsid w:val="00ED27AE"/>
    <w:rsid w:val="00ED41CD"/>
    <w:rsid w:val="00ED4628"/>
    <w:rsid w:val="00ED5592"/>
    <w:rsid w:val="00ED6161"/>
    <w:rsid w:val="00ED7C76"/>
    <w:rsid w:val="00EE048E"/>
    <w:rsid w:val="00EE136F"/>
    <w:rsid w:val="00EE13A0"/>
    <w:rsid w:val="00EE1EAE"/>
    <w:rsid w:val="00EE3185"/>
    <w:rsid w:val="00EE7742"/>
    <w:rsid w:val="00EF31BD"/>
    <w:rsid w:val="00EF453F"/>
    <w:rsid w:val="00EF4A5C"/>
    <w:rsid w:val="00EF5984"/>
    <w:rsid w:val="00EF632A"/>
    <w:rsid w:val="00EF6E23"/>
    <w:rsid w:val="00F000D2"/>
    <w:rsid w:val="00F01544"/>
    <w:rsid w:val="00F01E4F"/>
    <w:rsid w:val="00F02246"/>
    <w:rsid w:val="00F02AC6"/>
    <w:rsid w:val="00F13AD5"/>
    <w:rsid w:val="00F13C5B"/>
    <w:rsid w:val="00F153DE"/>
    <w:rsid w:val="00F1679C"/>
    <w:rsid w:val="00F208C1"/>
    <w:rsid w:val="00F21DC1"/>
    <w:rsid w:val="00F23628"/>
    <w:rsid w:val="00F24028"/>
    <w:rsid w:val="00F30601"/>
    <w:rsid w:val="00F3250E"/>
    <w:rsid w:val="00F341F3"/>
    <w:rsid w:val="00F34C6E"/>
    <w:rsid w:val="00F37C3E"/>
    <w:rsid w:val="00F37D6B"/>
    <w:rsid w:val="00F40383"/>
    <w:rsid w:val="00F42ABD"/>
    <w:rsid w:val="00F435F8"/>
    <w:rsid w:val="00F537A9"/>
    <w:rsid w:val="00F6213D"/>
    <w:rsid w:val="00F635C1"/>
    <w:rsid w:val="00F63C60"/>
    <w:rsid w:val="00F651A8"/>
    <w:rsid w:val="00F71B86"/>
    <w:rsid w:val="00F72A3E"/>
    <w:rsid w:val="00F746A4"/>
    <w:rsid w:val="00F77736"/>
    <w:rsid w:val="00F77C41"/>
    <w:rsid w:val="00F85975"/>
    <w:rsid w:val="00F862A9"/>
    <w:rsid w:val="00F86C1E"/>
    <w:rsid w:val="00F870BF"/>
    <w:rsid w:val="00F9458A"/>
    <w:rsid w:val="00FA2766"/>
    <w:rsid w:val="00FA4388"/>
    <w:rsid w:val="00FB7151"/>
    <w:rsid w:val="00FC03F6"/>
    <w:rsid w:val="00FC3432"/>
    <w:rsid w:val="00FC5273"/>
    <w:rsid w:val="00FC5BEE"/>
    <w:rsid w:val="00FC66DB"/>
    <w:rsid w:val="00FC6B6D"/>
    <w:rsid w:val="00FC7192"/>
    <w:rsid w:val="00FC7606"/>
    <w:rsid w:val="00FD26B5"/>
    <w:rsid w:val="00FD2EFB"/>
    <w:rsid w:val="00FD3A4D"/>
    <w:rsid w:val="00FD3C77"/>
    <w:rsid w:val="00FD6E5A"/>
    <w:rsid w:val="00FE155D"/>
    <w:rsid w:val="00FE1F2E"/>
    <w:rsid w:val="00FE3C9E"/>
    <w:rsid w:val="00FE53F9"/>
    <w:rsid w:val="00FF384E"/>
    <w:rsid w:val="00FF39C1"/>
    <w:rsid w:val="00FF3C49"/>
    <w:rsid w:val="00FF3FE7"/>
    <w:rsid w:val="00FF52AF"/>
    <w:rsid w:val="00FF60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881A5"/>
  <w15:chartTrackingRefBased/>
  <w15:docId w15:val="{78BC2EA8-173B-F140-B7D4-BAF23018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Bidi" w:eastAsiaTheme="minorHAnsi" w:hAnsiTheme="minorBidi"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8F8"/>
    <w:pPr>
      <w:spacing w:before="120" w:after="120" w:line="252" w:lineRule="auto"/>
      <w:jc w:val="both"/>
    </w:pPr>
    <w:rPr>
      <w:rFonts w:ascii="Times New Roman" w:eastAsiaTheme="majorEastAsia" w:hAnsi="Times New Roman" w:cstheme="majorBidi"/>
      <w:sz w:val="20"/>
      <w:szCs w:val="22"/>
    </w:rPr>
  </w:style>
  <w:style w:type="paragraph" w:styleId="Heading1">
    <w:name w:val="heading 1"/>
    <w:basedOn w:val="Normal"/>
    <w:next w:val="Normal"/>
    <w:link w:val="Heading1Char"/>
    <w:uiPriority w:val="9"/>
    <w:qFormat/>
    <w:rsid w:val="003168F8"/>
    <w:pPr>
      <w:pBdr>
        <w:bottom w:val="thinThickSmallGap" w:sz="12" w:space="1" w:color="858585" w:themeColor="accent2" w:themeShade="BF"/>
      </w:pBdr>
      <w:spacing w:before="400"/>
      <w:jc w:val="left"/>
      <w:outlineLvl w:val="0"/>
    </w:pPr>
    <w:rPr>
      <w:caps/>
      <w:color w:val="595959" w:themeColor="accent2" w:themeShade="80"/>
      <w:spacing w:val="20"/>
      <w:sz w:val="28"/>
      <w:szCs w:val="28"/>
    </w:rPr>
  </w:style>
  <w:style w:type="paragraph" w:styleId="Heading2">
    <w:name w:val="heading 2"/>
    <w:basedOn w:val="Normal"/>
    <w:next w:val="Normal"/>
    <w:link w:val="Heading2Char"/>
    <w:uiPriority w:val="9"/>
    <w:unhideWhenUsed/>
    <w:qFormat/>
    <w:rsid w:val="003168F8"/>
    <w:pPr>
      <w:pBdr>
        <w:bottom w:val="single" w:sz="4" w:space="1" w:color="585858" w:themeColor="accent2" w:themeShade="7F"/>
      </w:pBdr>
      <w:spacing w:before="400"/>
      <w:jc w:val="center"/>
      <w:outlineLvl w:val="1"/>
    </w:pPr>
    <w:rPr>
      <w:caps/>
      <w:color w:val="595959" w:themeColor="accent2" w:themeShade="80"/>
      <w:spacing w:val="15"/>
      <w:szCs w:val="24"/>
    </w:rPr>
  </w:style>
  <w:style w:type="paragraph" w:styleId="Heading3">
    <w:name w:val="heading 3"/>
    <w:basedOn w:val="Normal"/>
    <w:next w:val="Normal"/>
    <w:link w:val="Heading3Char"/>
    <w:uiPriority w:val="9"/>
    <w:unhideWhenUsed/>
    <w:qFormat/>
    <w:rsid w:val="00F651A8"/>
    <w:pPr>
      <w:spacing w:line="240" w:lineRule="auto"/>
      <w:outlineLvl w:val="2"/>
    </w:pPr>
    <w:rPr>
      <w:b/>
      <w:bCs/>
      <w:color w:val="C3FF00"/>
    </w:rPr>
  </w:style>
  <w:style w:type="paragraph" w:styleId="Heading4">
    <w:name w:val="heading 4"/>
    <w:basedOn w:val="Normal"/>
    <w:next w:val="Normal"/>
    <w:link w:val="Heading4Char"/>
    <w:uiPriority w:val="9"/>
    <w:unhideWhenUsed/>
    <w:qFormat/>
    <w:rsid w:val="003168F8"/>
    <w:pPr>
      <w:pBdr>
        <w:bottom w:val="dotted" w:sz="4" w:space="1" w:color="858585" w:themeColor="accent2" w:themeShade="BF"/>
      </w:pBdr>
      <w:tabs>
        <w:tab w:val="left" w:pos="3395"/>
        <w:tab w:val="center" w:pos="4513"/>
      </w:tabs>
      <w:spacing w:before="480" w:after="240"/>
      <w:outlineLvl w:val="3"/>
    </w:pPr>
    <w:rPr>
      <w:b/>
      <w:bCs/>
      <w:color w:val="000000" w:themeColor="text1"/>
      <w:spacing w:val="10"/>
    </w:rPr>
  </w:style>
  <w:style w:type="paragraph" w:styleId="Heading5">
    <w:name w:val="heading 5"/>
    <w:basedOn w:val="Normal"/>
    <w:next w:val="Normal"/>
    <w:link w:val="Heading5Char"/>
    <w:uiPriority w:val="9"/>
    <w:semiHidden/>
    <w:unhideWhenUsed/>
    <w:qFormat/>
    <w:rsid w:val="003168F8"/>
    <w:pPr>
      <w:spacing w:before="320"/>
      <w:jc w:val="center"/>
      <w:outlineLvl w:val="4"/>
    </w:pPr>
    <w:rPr>
      <w:caps/>
      <w:color w:val="585858" w:themeColor="accent2" w:themeShade="7F"/>
      <w:spacing w:val="10"/>
    </w:rPr>
  </w:style>
  <w:style w:type="paragraph" w:styleId="Heading6">
    <w:name w:val="heading 6"/>
    <w:basedOn w:val="Normal"/>
    <w:next w:val="Normal"/>
    <w:link w:val="Heading6Char"/>
    <w:uiPriority w:val="9"/>
    <w:semiHidden/>
    <w:unhideWhenUsed/>
    <w:qFormat/>
    <w:rsid w:val="003168F8"/>
    <w:pPr>
      <w:jc w:val="center"/>
      <w:outlineLvl w:val="5"/>
    </w:pPr>
    <w:rPr>
      <w:caps/>
      <w:color w:val="858585" w:themeColor="accent2" w:themeShade="BF"/>
      <w:spacing w:val="10"/>
    </w:rPr>
  </w:style>
  <w:style w:type="paragraph" w:styleId="Heading7">
    <w:name w:val="heading 7"/>
    <w:basedOn w:val="Normal"/>
    <w:next w:val="Normal"/>
    <w:link w:val="Heading7Char"/>
    <w:uiPriority w:val="9"/>
    <w:semiHidden/>
    <w:unhideWhenUsed/>
    <w:qFormat/>
    <w:rsid w:val="003168F8"/>
    <w:pPr>
      <w:jc w:val="center"/>
      <w:outlineLvl w:val="6"/>
    </w:pPr>
    <w:rPr>
      <w:i/>
      <w:iCs/>
      <w:caps/>
      <w:color w:val="858585" w:themeColor="accent2" w:themeShade="BF"/>
      <w:spacing w:val="10"/>
    </w:rPr>
  </w:style>
  <w:style w:type="paragraph" w:styleId="Heading8">
    <w:name w:val="heading 8"/>
    <w:basedOn w:val="Normal"/>
    <w:next w:val="Normal"/>
    <w:link w:val="Heading8Char"/>
    <w:uiPriority w:val="9"/>
    <w:semiHidden/>
    <w:unhideWhenUsed/>
    <w:qFormat/>
    <w:rsid w:val="003168F8"/>
    <w:pPr>
      <w:jc w:val="center"/>
      <w:outlineLvl w:val="7"/>
    </w:pPr>
    <w:rPr>
      <w:caps/>
      <w:spacing w:val="10"/>
      <w:szCs w:val="20"/>
    </w:rPr>
  </w:style>
  <w:style w:type="paragraph" w:styleId="Heading9">
    <w:name w:val="heading 9"/>
    <w:basedOn w:val="Normal"/>
    <w:next w:val="Normal"/>
    <w:link w:val="Heading9Char"/>
    <w:uiPriority w:val="9"/>
    <w:semiHidden/>
    <w:unhideWhenUsed/>
    <w:qFormat/>
    <w:rsid w:val="003168F8"/>
    <w:pPr>
      <w:jc w:val="center"/>
      <w:outlineLvl w:val="8"/>
    </w:pPr>
    <w:rPr>
      <w:i/>
      <w:iCs/>
      <w:caps/>
      <w:spacing w:val="1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8F8"/>
    <w:rPr>
      <w:rFonts w:ascii="Times New Roman" w:eastAsiaTheme="majorEastAsia" w:hAnsi="Times New Roman" w:cstheme="majorBidi"/>
      <w:caps/>
      <w:color w:val="595959" w:themeColor="accent2" w:themeShade="80"/>
      <w:spacing w:val="20"/>
      <w:sz w:val="28"/>
      <w:szCs w:val="28"/>
      <w:lang w:val="en-US"/>
    </w:rPr>
  </w:style>
  <w:style w:type="character" w:customStyle="1" w:styleId="Heading2Char">
    <w:name w:val="Heading 2 Char"/>
    <w:basedOn w:val="DefaultParagraphFont"/>
    <w:link w:val="Heading2"/>
    <w:uiPriority w:val="9"/>
    <w:rsid w:val="003168F8"/>
    <w:rPr>
      <w:rFonts w:ascii="Times New Roman" w:eastAsiaTheme="majorEastAsia" w:hAnsi="Times New Roman" w:cstheme="majorBidi"/>
      <w:caps/>
      <w:color w:val="595959" w:themeColor="accent2" w:themeShade="80"/>
      <w:spacing w:val="15"/>
      <w:sz w:val="20"/>
      <w:lang w:val="en-US"/>
    </w:rPr>
  </w:style>
  <w:style w:type="character" w:customStyle="1" w:styleId="Heading3Char">
    <w:name w:val="Heading 3 Char"/>
    <w:basedOn w:val="DefaultParagraphFont"/>
    <w:link w:val="Heading3"/>
    <w:uiPriority w:val="9"/>
    <w:rsid w:val="00F651A8"/>
    <w:rPr>
      <w:rFonts w:ascii="Times New Roman" w:eastAsiaTheme="majorEastAsia" w:hAnsi="Times New Roman" w:cstheme="majorBidi"/>
      <w:b/>
      <w:bCs/>
      <w:color w:val="C3FF00"/>
      <w:sz w:val="20"/>
      <w:szCs w:val="22"/>
      <w:lang w:val="en-US"/>
    </w:rPr>
  </w:style>
  <w:style w:type="character" w:customStyle="1" w:styleId="Heading4Char">
    <w:name w:val="Heading 4 Char"/>
    <w:basedOn w:val="DefaultParagraphFont"/>
    <w:link w:val="Heading4"/>
    <w:uiPriority w:val="9"/>
    <w:rsid w:val="003168F8"/>
    <w:rPr>
      <w:rFonts w:ascii="Times New Roman" w:eastAsiaTheme="majorEastAsia" w:hAnsi="Times New Roman" w:cstheme="majorBidi"/>
      <w:b/>
      <w:bCs/>
      <w:color w:val="000000" w:themeColor="text1"/>
      <w:spacing w:val="10"/>
      <w:sz w:val="20"/>
      <w:szCs w:val="22"/>
      <w:lang w:val="en-US"/>
    </w:rPr>
  </w:style>
  <w:style w:type="character" w:customStyle="1" w:styleId="Heading5Char">
    <w:name w:val="Heading 5 Char"/>
    <w:basedOn w:val="DefaultParagraphFont"/>
    <w:link w:val="Heading5"/>
    <w:uiPriority w:val="9"/>
    <w:semiHidden/>
    <w:rsid w:val="003168F8"/>
    <w:rPr>
      <w:rFonts w:ascii="Times New Roman" w:eastAsiaTheme="majorEastAsia" w:hAnsi="Times New Roman" w:cstheme="majorBidi"/>
      <w:caps/>
      <w:color w:val="585858" w:themeColor="accent2" w:themeShade="7F"/>
      <w:spacing w:val="10"/>
      <w:sz w:val="20"/>
      <w:szCs w:val="22"/>
      <w:lang w:val="en-US"/>
    </w:rPr>
  </w:style>
  <w:style w:type="character" w:customStyle="1" w:styleId="Heading6Char">
    <w:name w:val="Heading 6 Char"/>
    <w:basedOn w:val="DefaultParagraphFont"/>
    <w:link w:val="Heading6"/>
    <w:uiPriority w:val="9"/>
    <w:semiHidden/>
    <w:rsid w:val="003168F8"/>
    <w:rPr>
      <w:rFonts w:ascii="Times New Roman" w:eastAsiaTheme="majorEastAsia" w:hAnsi="Times New Roman" w:cstheme="majorBidi"/>
      <w:caps/>
      <w:color w:val="858585" w:themeColor="accent2" w:themeShade="BF"/>
      <w:spacing w:val="10"/>
      <w:sz w:val="20"/>
      <w:szCs w:val="22"/>
      <w:lang w:val="en-US"/>
    </w:rPr>
  </w:style>
  <w:style w:type="character" w:customStyle="1" w:styleId="Heading7Char">
    <w:name w:val="Heading 7 Char"/>
    <w:basedOn w:val="DefaultParagraphFont"/>
    <w:link w:val="Heading7"/>
    <w:uiPriority w:val="9"/>
    <w:semiHidden/>
    <w:rsid w:val="003168F8"/>
    <w:rPr>
      <w:rFonts w:ascii="Times New Roman" w:eastAsiaTheme="majorEastAsia" w:hAnsi="Times New Roman" w:cstheme="majorBidi"/>
      <w:i/>
      <w:iCs/>
      <w:caps/>
      <w:color w:val="858585" w:themeColor="accent2" w:themeShade="BF"/>
      <w:spacing w:val="10"/>
      <w:sz w:val="20"/>
      <w:szCs w:val="22"/>
      <w:lang w:val="en-US"/>
    </w:rPr>
  </w:style>
  <w:style w:type="character" w:customStyle="1" w:styleId="Heading8Char">
    <w:name w:val="Heading 8 Char"/>
    <w:basedOn w:val="DefaultParagraphFont"/>
    <w:link w:val="Heading8"/>
    <w:uiPriority w:val="9"/>
    <w:semiHidden/>
    <w:rsid w:val="003168F8"/>
    <w:rPr>
      <w:rFonts w:ascii="Times New Roman" w:eastAsiaTheme="majorEastAsia" w:hAnsi="Times New Roman" w:cstheme="majorBidi"/>
      <w:caps/>
      <w:spacing w:val="10"/>
      <w:sz w:val="20"/>
      <w:szCs w:val="20"/>
      <w:lang w:val="en-US"/>
    </w:rPr>
  </w:style>
  <w:style w:type="character" w:customStyle="1" w:styleId="Heading9Char">
    <w:name w:val="Heading 9 Char"/>
    <w:basedOn w:val="DefaultParagraphFont"/>
    <w:link w:val="Heading9"/>
    <w:uiPriority w:val="9"/>
    <w:semiHidden/>
    <w:rsid w:val="003168F8"/>
    <w:rPr>
      <w:rFonts w:ascii="Times New Roman" w:eastAsiaTheme="majorEastAsia" w:hAnsi="Times New Roman" w:cstheme="majorBidi"/>
      <w:i/>
      <w:iCs/>
      <w:caps/>
      <w:spacing w:val="10"/>
      <w:sz w:val="20"/>
      <w:szCs w:val="20"/>
      <w:lang w:val="en-US"/>
    </w:rPr>
  </w:style>
  <w:style w:type="paragraph" w:styleId="Caption">
    <w:name w:val="caption"/>
    <w:basedOn w:val="Normal"/>
    <w:next w:val="Normal"/>
    <w:uiPriority w:val="35"/>
    <w:semiHidden/>
    <w:unhideWhenUsed/>
    <w:qFormat/>
    <w:rsid w:val="003168F8"/>
    <w:rPr>
      <w:caps/>
      <w:spacing w:val="10"/>
      <w:sz w:val="18"/>
      <w:szCs w:val="18"/>
    </w:rPr>
  </w:style>
  <w:style w:type="paragraph" w:styleId="Title">
    <w:name w:val="Title"/>
    <w:basedOn w:val="Normal"/>
    <w:next w:val="Normal"/>
    <w:link w:val="TitleChar"/>
    <w:uiPriority w:val="10"/>
    <w:qFormat/>
    <w:rsid w:val="003168F8"/>
    <w:pPr>
      <w:pBdr>
        <w:top w:val="dotted" w:sz="2" w:space="1" w:color="595959" w:themeColor="accent2" w:themeShade="80"/>
        <w:bottom w:val="dotted" w:sz="2" w:space="6" w:color="595959" w:themeColor="accent2" w:themeShade="80"/>
      </w:pBdr>
      <w:spacing w:before="500" w:after="300" w:line="240" w:lineRule="auto"/>
      <w:jc w:val="center"/>
    </w:pPr>
    <w:rPr>
      <w:caps/>
      <w:color w:val="595959" w:themeColor="accent2" w:themeShade="80"/>
      <w:spacing w:val="50"/>
      <w:sz w:val="44"/>
      <w:szCs w:val="44"/>
    </w:rPr>
  </w:style>
  <w:style w:type="character" w:customStyle="1" w:styleId="TitleChar">
    <w:name w:val="Title Char"/>
    <w:basedOn w:val="DefaultParagraphFont"/>
    <w:link w:val="Title"/>
    <w:uiPriority w:val="10"/>
    <w:rsid w:val="003168F8"/>
    <w:rPr>
      <w:rFonts w:ascii="Times New Roman" w:eastAsiaTheme="majorEastAsia" w:hAnsi="Times New Roman" w:cstheme="majorBidi"/>
      <w:caps/>
      <w:color w:val="595959" w:themeColor="accent2" w:themeShade="80"/>
      <w:spacing w:val="50"/>
      <w:sz w:val="44"/>
      <w:szCs w:val="44"/>
      <w:lang w:val="en-US"/>
    </w:rPr>
  </w:style>
  <w:style w:type="paragraph" w:styleId="Subtitle">
    <w:name w:val="Subtitle"/>
    <w:basedOn w:val="Normal"/>
    <w:next w:val="Normal"/>
    <w:link w:val="SubtitleChar"/>
    <w:uiPriority w:val="11"/>
    <w:qFormat/>
    <w:rsid w:val="003168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168F8"/>
    <w:rPr>
      <w:rFonts w:ascii="Times New Roman" w:eastAsiaTheme="majorEastAsia" w:hAnsi="Times New Roman" w:cstheme="majorBidi"/>
      <w:caps/>
      <w:spacing w:val="20"/>
      <w:sz w:val="18"/>
      <w:szCs w:val="18"/>
      <w:lang w:val="en-US"/>
    </w:rPr>
  </w:style>
  <w:style w:type="character" w:styleId="Strong">
    <w:name w:val="Strong"/>
    <w:uiPriority w:val="22"/>
    <w:qFormat/>
    <w:rsid w:val="003168F8"/>
    <w:rPr>
      <w:b/>
      <w:bCs/>
      <w:color w:val="858585" w:themeColor="accent2" w:themeShade="BF"/>
      <w:spacing w:val="5"/>
    </w:rPr>
  </w:style>
  <w:style w:type="character" w:styleId="Emphasis">
    <w:name w:val="Emphasis"/>
    <w:uiPriority w:val="20"/>
    <w:qFormat/>
    <w:rsid w:val="003168F8"/>
    <w:rPr>
      <w:caps/>
      <w:spacing w:val="5"/>
      <w:sz w:val="20"/>
      <w:szCs w:val="20"/>
    </w:rPr>
  </w:style>
  <w:style w:type="paragraph" w:styleId="NoSpacing">
    <w:name w:val="No Spacing"/>
    <w:basedOn w:val="Normal"/>
    <w:link w:val="NoSpacingChar"/>
    <w:uiPriority w:val="1"/>
    <w:qFormat/>
    <w:rsid w:val="003168F8"/>
    <w:pPr>
      <w:spacing w:after="0" w:line="240" w:lineRule="auto"/>
    </w:pPr>
  </w:style>
  <w:style w:type="character" w:customStyle="1" w:styleId="NoSpacingChar">
    <w:name w:val="No Spacing Char"/>
    <w:basedOn w:val="DefaultParagraphFont"/>
    <w:link w:val="NoSpacing"/>
    <w:uiPriority w:val="1"/>
    <w:rsid w:val="003168F8"/>
    <w:rPr>
      <w:rFonts w:ascii="Times New Roman" w:eastAsiaTheme="majorEastAsia" w:hAnsi="Times New Roman" w:cstheme="majorBidi"/>
      <w:sz w:val="20"/>
      <w:szCs w:val="22"/>
      <w:lang w:val="en-US"/>
    </w:rPr>
  </w:style>
  <w:style w:type="paragraph" w:styleId="ListParagraph">
    <w:name w:val="List Paragraph"/>
    <w:basedOn w:val="Normal"/>
    <w:uiPriority w:val="34"/>
    <w:qFormat/>
    <w:rsid w:val="003168F8"/>
    <w:pPr>
      <w:ind w:left="720"/>
      <w:contextualSpacing/>
    </w:pPr>
  </w:style>
  <w:style w:type="paragraph" w:styleId="Quote">
    <w:name w:val="Quote"/>
    <w:basedOn w:val="Normal"/>
    <w:next w:val="Normal"/>
    <w:link w:val="QuoteChar"/>
    <w:uiPriority w:val="29"/>
    <w:qFormat/>
    <w:rsid w:val="003168F8"/>
    <w:rPr>
      <w:i/>
      <w:iCs/>
    </w:rPr>
  </w:style>
  <w:style w:type="character" w:customStyle="1" w:styleId="QuoteChar">
    <w:name w:val="Quote Char"/>
    <w:basedOn w:val="DefaultParagraphFont"/>
    <w:link w:val="Quote"/>
    <w:uiPriority w:val="29"/>
    <w:rsid w:val="003168F8"/>
    <w:rPr>
      <w:rFonts w:ascii="Times New Roman" w:eastAsiaTheme="majorEastAsia" w:hAnsi="Times New Roman" w:cstheme="majorBidi"/>
      <w:i/>
      <w:iCs/>
      <w:sz w:val="20"/>
      <w:szCs w:val="22"/>
      <w:lang w:val="en-US"/>
    </w:rPr>
  </w:style>
  <w:style w:type="paragraph" w:styleId="IntenseQuote">
    <w:name w:val="Intense Quote"/>
    <w:basedOn w:val="Normal"/>
    <w:next w:val="Normal"/>
    <w:link w:val="IntenseQuoteChar"/>
    <w:uiPriority w:val="30"/>
    <w:qFormat/>
    <w:rsid w:val="003168F8"/>
    <w:pPr>
      <w:pBdr>
        <w:top w:val="dotted" w:sz="2" w:space="10" w:color="595959" w:themeColor="accent2" w:themeShade="80"/>
        <w:bottom w:val="dotted" w:sz="2" w:space="4" w:color="595959" w:themeColor="accent2" w:themeShade="80"/>
      </w:pBdr>
      <w:spacing w:before="160" w:line="300" w:lineRule="auto"/>
      <w:ind w:left="1440" w:right="1440"/>
    </w:pPr>
    <w:rPr>
      <w:caps/>
      <w:color w:val="585858" w:themeColor="accent2" w:themeShade="7F"/>
      <w:spacing w:val="5"/>
      <w:szCs w:val="20"/>
    </w:rPr>
  </w:style>
  <w:style w:type="character" w:customStyle="1" w:styleId="IntenseQuoteChar">
    <w:name w:val="Intense Quote Char"/>
    <w:basedOn w:val="DefaultParagraphFont"/>
    <w:link w:val="IntenseQuote"/>
    <w:uiPriority w:val="30"/>
    <w:rsid w:val="003168F8"/>
    <w:rPr>
      <w:rFonts w:ascii="Times New Roman" w:eastAsiaTheme="majorEastAsia" w:hAnsi="Times New Roman" w:cstheme="majorBidi"/>
      <w:caps/>
      <w:color w:val="585858" w:themeColor="accent2" w:themeShade="7F"/>
      <w:spacing w:val="5"/>
      <w:sz w:val="20"/>
      <w:szCs w:val="20"/>
      <w:lang w:val="en-US"/>
    </w:rPr>
  </w:style>
  <w:style w:type="character" w:styleId="SubtleEmphasis">
    <w:name w:val="Subtle Emphasis"/>
    <w:uiPriority w:val="19"/>
    <w:qFormat/>
    <w:rsid w:val="003168F8"/>
    <w:rPr>
      <w:i/>
      <w:iCs/>
    </w:rPr>
  </w:style>
  <w:style w:type="character" w:styleId="IntenseEmphasis">
    <w:name w:val="Intense Emphasis"/>
    <w:uiPriority w:val="21"/>
    <w:qFormat/>
    <w:rsid w:val="003168F8"/>
    <w:rPr>
      <w:i/>
      <w:iCs/>
      <w:caps/>
      <w:spacing w:val="10"/>
      <w:sz w:val="20"/>
      <w:szCs w:val="20"/>
    </w:rPr>
  </w:style>
  <w:style w:type="character" w:styleId="SubtleReference">
    <w:name w:val="Subtle Reference"/>
    <w:basedOn w:val="DefaultParagraphFont"/>
    <w:uiPriority w:val="31"/>
    <w:qFormat/>
    <w:rsid w:val="003168F8"/>
    <w:rPr>
      <w:rFonts w:asciiTheme="minorHAnsi" w:eastAsiaTheme="minorEastAsia" w:hAnsiTheme="minorHAnsi" w:cstheme="minorBidi"/>
      <w:i/>
      <w:iCs/>
      <w:color w:val="585858" w:themeColor="accent2" w:themeShade="7F"/>
    </w:rPr>
  </w:style>
  <w:style w:type="character" w:styleId="IntenseReference">
    <w:name w:val="Intense Reference"/>
    <w:uiPriority w:val="32"/>
    <w:qFormat/>
    <w:rsid w:val="003168F8"/>
    <w:rPr>
      <w:rFonts w:asciiTheme="minorHAnsi" w:eastAsiaTheme="minorEastAsia" w:hAnsiTheme="minorHAnsi" w:cstheme="minorBidi"/>
      <w:b/>
      <w:bCs/>
      <w:i/>
      <w:iCs/>
      <w:color w:val="585858" w:themeColor="accent2" w:themeShade="7F"/>
    </w:rPr>
  </w:style>
  <w:style w:type="character" w:styleId="BookTitle">
    <w:name w:val="Book Title"/>
    <w:uiPriority w:val="33"/>
    <w:qFormat/>
    <w:rsid w:val="003168F8"/>
    <w:rPr>
      <w:caps/>
      <w:color w:val="585858" w:themeColor="accent2" w:themeShade="7F"/>
      <w:spacing w:val="5"/>
      <w:u w:color="585858" w:themeColor="accent2" w:themeShade="7F"/>
    </w:rPr>
  </w:style>
  <w:style w:type="paragraph" w:styleId="TOCHeading">
    <w:name w:val="TOC Heading"/>
    <w:basedOn w:val="Heading1"/>
    <w:next w:val="Normal"/>
    <w:uiPriority w:val="39"/>
    <w:unhideWhenUsed/>
    <w:qFormat/>
    <w:rsid w:val="003168F8"/>
    <w:pPr>
      <w:outlineLvl w:val="9"/>
    </w:pPr>
  </w:style>
  <w:style w:type="table" w:styleId="TableGrid">
    <w:name w:val="Table Grid"/>
    <w:basedOn w:val="TableNormal"/>
    <w:uiPriority w:val="39"/>
    <w:rsid w:val="003168F8"/>
    <w:rPr>
      <w:rFonts w:asciiTheme="majorHAnsi" w:eastAsiaTheme="majorEastAsia" w:hAnsiTheme="majorHAnsi" w:cstheme="maj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168F8"/>
    <w:pPr>
      <w:spacing w:before="0" w:after="0" w:line="240" w:lineRule="auto"/>
      <w:jc w:val="left"/>
    </w:pPr>
    <w:rPr>
      <w:szCs w:val="20"/>
    </w:rPr>
  </w:style>
  <w:style w:type="character" w:customStyle="1" w:styleId="FootnoteTextChar">
    <w:name w:val="Footnote Text Char"/>
    <w:basedOn w:val="DefaultParagraphFont"/>
    <w:link w:val="FootnoteText"/>
    <w:uiPriority w:val="99"/>
    <w:rsid w:val="003168F8"/>
    <w:rPr>
      <w:rFonts w:ascii="Times New Roman" w:eastAsiaTheme="majorEastAsia" w:hAnsi="Times New Roman" w:cstheme="majorBidi"/>
      <w:sz w:val="20"/>
      <w:szCs w:val="20"/>
      <w:lang w:val="en-US"/>
    </w:rPr>
  </w:style>
  <w:style w:type="character" w:styleId="FootnoteReference">
    <w:name w:val="footnote reference"/>
    <w:basedOn w:val="DefaultParagraphFont"/>
    <w:uiPriority w:val="99"/>
    <w:semiHidden/>
    <w:unhideWhenUsed/>
    <w:rsid w:val="003168F8"/>
    <w:rPr>
      <w:vertAlign w:val="superscript"/>
    </w:rPr>
  </w:style>
  <w:style w:type="character" w:styleId="Hyperlink">
    <w:name w:val="Hyperlink"/>
    <w:basedOn w:val="DefaultParagraphFont"/>
    <w:uiPriority w:val="99"/>
    <w:unhideWhenUsed/>
    <w:rsid w:val="003168F8"/>
    <w:rPr>
      <w:color w:val="0000FF"/>
      <w:u w:val="single"/>
    </w:rPr>
  </w:style>
  <w:style w:type="character" w:styleId="UnresolvedMention">
    <w:name w:val="Unresolved Mention"/>
    <w:basedOn w:val="DefaultParagraphFont"/>
    <w:uiPriority w:val="99"/>
    <w:semiHidden/>
    <w:unhideWhenUsed/>
    <w:rsid w:val="003168F8"/>
    <w:rPr>
      <w:color w:val="605E5C"/>
      <w:shd w:val="clear" w:color="auto" w:fill="E1DFDD"/>
    </w:rPr>
  </w:style>
  <w:style w:type="character" w:styleId="CommentReference">
    <w:name w:val="annotation reference"/>
    <w:basedOn w:val="DefaultParagraphFont"/>
    <w:uiPriority w:val="99"/>
    <w:semiHidden/>
    <w:unhideWhenUsed/>
    <w:rsid w:val="003168F8"/>
    <w:rPr>
      <w:sz w:val="16"/>
      <w:szCs w:val="16"/>
    </w:rPr>
  </w:style>
  <w:style w:type="paragraph" w:styleId="CommentText">
    <w:name w:val="annotation text"/>
    <w:basedOn w:val="Normal"/>
    <w:link w:val="CommentTextChar"/>
    <w:uiPriority w:val="99"/>
    <w:semiHidden/>
    <w:unhideWhenUsed/>
    <w:rsid w:val="003168F8"/>
    <w:pPr>
      <w:spacing w:line="240" w:lineRule="auto"/>
    </w:pPr>
    <w:rPr>
      <w:szCs w:val="20"/>
    </w:rPr>
  </w:style>
  <w:style w:type="character" w:customStyle="1" w:styleId="CommentTextChar">
    <w:name w:val="Comment Text Char"/>
    <w:basedOn w:val="DefaultParagraphFont"/>
    <w:link w:val="CommentText"/>
    <w:uiPriority w:val="99"/>
    <w:semiHidden/>
    <w:rsid w:val="003168F8"/>
    <w:rPr>
      <w:rFonts w:ascii="Times New Roman" w:eastAsiaTheme="majorEastAsia" w:hAnsi="Times New Roman" w:cstheme="majorBidi"/>
      <w:sz w:val="20"/>
      <w:szCs w:val="20"/>
      <w:lang w:val="en-US"/>
    </w:rPr>
  </w:style>
  <w:style w:type="paragraph" w:styleId="CommentSubject">
    <w:name w:val="annotation subject"/>
    <w:basedOn w:val="CommentText"/>
    <w:next w:val="CommentText"/>
    <w:link w:val="CommentSubjectChar"/>
    <w:uiPriority w:val="99"/>
    <w:semiHidden/>
    <w:unhideWhenUsed/>
    <w:rsid w:val="003168F8"/>
    <w:rPr>
      <w:b/>
      <w:bCs/>
    </w:rPr>
  </w:style>
  <w:style w:type="character" w:customStyle="1" w:styleId="CommentSubjectChar">
    <w:name w:val="Comment Subject Char"/>
    <w:basedOn w:val="CommentTextChar"/>
    <w:link w:val="CommentSubject"/>
    <w:uiPriority w:val="99"/>
    <w:semiHidden/>
    <w:rsid w:val="003168F8"/>
    <w:rPr>
      <w:rFonts w:ascii="Times New Roman" w:eastAsiaTheme="majorEastAsia" w:hAnsi="Times New Roman" w:cstheme="majorBidi"/>
      <w:b/>
      <w:bCs/>
      <w:sz w:val="20"/>
      <w:szCs w:val="20"/>
      <w:lang w:val="en-US"/>
    </w:rPr>
  </w:style>
  <w:style w:type="paragraph" w:styleId="Revision">
    <w:name w:val="Revision"/>
    <w:hidden/>
    <w:uiPriority w:val="99"/>
    <w:semiHidden/>
    <w:rsid w:val="003168F8"/>
    <w:rPr>
      <w:rFonts w:asciiTheme="majorHAnsi" w:eastAsiaTheme="majorEastAsia" w:hAnsiTheme="majorHAnsi" w:cstheme="majorBidi"/>
      <w:sz w:val="20"/>
      <w:szCs w:val="22"/>
    </w:rPr>
  </w:style>
  <w:style w:type="paragraph" w:styleId="NormalWeb">
    <w:name w:val="Normal (Web)"/>
    <w:basedOn w:val="Normal"/>
    <w:uiPriority w:val="99"/>
    <w:semiHidden/>
    <w:unhideWhenUsed/>
    <w:rsid w:val="003168F8"/>
    <w:rPr>
      <w:rFonts w:cs="Times New Roman"/>
      <w:szCs w:val="24"/>
    </w:rPr>
  </w:style>
  <w:style w:type="character" w:customStyle="1" w:styleId="ms-button-flexcontainer">
    <w:name w:val="ms-button-flexcontainer"/>
    <w:basedOn w:val="DefaultParagraphFont"/>
    <w:rsid w:val="003168F8"/>
  </w:style>
  <w:style w:type="character" w:styleId="FollowedHyperlink">
    <w:name w:val="FollowedHyperlink"/>
    <w:basedOn w:val="DefaultParagraphFont"/>
    <w:uiPriority w:val="99"/>
    <w:semiHidden/>
    <w:unhideWhenUsed/>
    <w:rsid w:val="003168F8"/>
    <w:rPr>
      <w:color w:val="919191" w:themeColor="followedHyperlink"/>
      <w:u w:val="single"/>
    </w:rPr>
  </w:style>
  <w:style w:type="paragraph" w:styleId="Header">
    <w:name w:val="header"/>
    <w:basedOn w:val="Normal"/>
    <w:link w:val="HeaderChar"/>
    <w:uiPriority w:val="99"/>
    <w:unhideWhenUsed/>
    <w:rsid w:val="003168F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168F8"/>
    <w:rPr>
      <w:rFonts w:ascii="Times New Roman" w:eastAsiaTheme="majorEastAsia" w:hAnsi="Times New Roman" w:cstheme="majorBidi"/>
      <w:sz w:val="20"/>
      <w:szCs w:val="22"/>
      <w:lang w:val="en-US"/>
    </w:rPr>
  </w:style>
  <w:style w:type="paragraph" w:styleId="Footer">
    <w:name w:val="footer"/>
    <w:basedOn w:val="Normal"/>
    <w:link w:val="FooterChar"/>
    <w:uiPriority w:val="99"/>
    <w:unhideWhenUsed/>
    <w:rsid w:val="003168F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168F8"/>
    <w:rPr>
      <w:rFonts w:ascii="Times New Roman" w:eastAsiaTheme="majorEastAsia" w:hAnsi="Times New Roman" w:cstheme="majorBidi"/>
      <w:sz w:val="20"/>
      <w:szCs w:val="22"/>
      <w:lang w:val="en-US"/>
    </w:rPr>
  </w:style>
  <w:style w:type="character" w:styleId="EndnoteReference">
    <w:name w:val="endnote reference"/>
    <w:basedOn w:val="DefaultParagraphFont"/>
    <w:uiPriority w:val="99"/>
    <w:semiHidden/>
    <w:unhideWhenUsed/>
    <w:rsid w:val="003168F8"/>
    <w:rPr>
      <w:vertAlign w:val="superscript"/>
    </w:rPr>
  </w:style>
  <w:style w:type="paragraph" w:customStyle="1" w:styleId="Style1">
    <w:name w:val="Style1"/>
    <w:basedOn w:val="FootnoteText"/>
    <w:qFormat/>
    <w:rsid w:val="003168F8"/>
    <w:rPr>
      <w:rFonts w:cs="Times New Roman"/>
      <w:smallCaps/>
      <w:lang w:val="en-GB"/>
    </w:rPr>
  </w:style>
  <w:style w:type="paragraph" w:customStyle="1" w:styleId="Style2">
    <w:name w:val="Style2"/>
    <w:basedOn w:val="FootnoteText"/>
    <w:qFormat/>
    <w:rsid w:val="003168F8"/>
  </w:style>
  <w:style w:type="paragraph" w:styleId="TOC1">
    <w:name w:val="toc 1"/>
    <w:basedOn w:val="Normal"/>
    <w:next w:val="Normal"/>
    <w:autoRedefine/>
    <w:uiPriority w:val="39"/>
    <w:unhideWhenUsed/>
    <w:rsid w:val="003168F8"/>
    <w:pPr>
      <w:spacing w:before="360" w:after="360"/>
      <w:jc w:val="left"/>
    </w:pPr>
    <w:rPr>
      <w:rFonts w:asciiTheme="minorHAnsi" w:hAnsiTheme="minorHAnsi" w:cs="Times New Roman"/>
      <w:b/>
      <w:bCs/>
      <w:caps/>
      <w:sz w:val="22"/>
      <w:szCs w:val="26"/>
      <w:u w:val="single"/>
    </w:rPr>
  </w:style>
  <w:style w:type="paragraph" w:styleId="TOC2">
    <w:name w:val="toc 2"/>
    <w:basedOn w:val="Normal"/>
    <w:next w:val="Normal"/>
    <w:autoRedefine/>
    <w:uiPriority w:val="39"/>
    <w:unhideWhenUsed/>
    <w:rsid w:val="003168F8"/>
    <w:pPr>
      <w:spacing w:before="0" w:after="0"/>
      <w:jc w:val="left"/>
    </w:pPr>
    <w:rPr>
      <w:rFonts w:asciiTheme="minorHAnsi" w:hAnsiTheme="minorHAnsi" w:cs="Times New Roman"/>
      <w:b/>
      <w:bCs/>
      <w:smallCaps/>
      <w:sz w:val="22"/>
      <w:szCs w:val="26"/>
    </w:rPr>
  </w:style>
  <w:style w:type="paragraph" w:styleId="TOC3">
    <w:name w:val="toc 3"/>
    <w:basedOn w:val="Normal"/>
    <w:next w:val="Normal"/>
    <w:autoRedefine/>
    <w:uiPriority w:val="39"/>
    <w:unhideWhenUsed/>
    <w:rsid w:val="003168F8"/>
    <w:pPr>
      <w:spacing w:before="0" w:after="0"/>
      <w:jc w:val="left"/>
    </w:pPr>
    <w:rPr>
      <w:rFonts w:asciiTheme="minorHAnsi" w:hAnsiTheme="minorHAnsi" w:cs="Times New Roman"/>
      <w:smallCaps/>
      <w:sz w:val="22"/>
      <w:szCs w:val="26"/>
    </w:rPr>
  </w:style>
  <w:style w:type="paragraph" w:styleId="TOC4">
    <w:name w:val="toc 4"/>
    <w:basedOn w:val="Normal"/>
    <w:next w:val="Normal"/>
    <w:autoRedefine/>
    <w:uiPriority w:val="39"/>
    <w:semiHidden/>
    <w:unhideWhenUsed/>
    <w:rsid w:val="003168F8"/>
    <w:pPr>
      <w:spacing w:before="0" w:after="0"/>
      <w:jc w:val="left"/>
    </w:pPr>
    <w:rPr>
      <w:rFonts w:asciiTheme="minorHAnsi" w:hAnsiTheme="minorHAnsi" w:cs="Times New Roman"/>
      <w:sz w:val="22"/>
      <w:szCs w:val="26"/>
    </w:rPr>
  </w:style>
  <w:style w:type="paragraph" w:styleId="TOC5">
    <w:name w:val="toc 5"/>
    <w:basedOn w:val="Normal"/>
    <w:next w:val="Normal"/>
    <w:autoRedefine/>
    <w:uiPriority w:val="39"/>
    <w:semiHidden/>
    <w:unhideWhenUsed/>
    <w:rsid w:val="003168F8"/>
    <w:pPr>
      <w:spacing w:before="0" w:after="0"/>
      <w:jc w:val="left"/>
    </w:pPr>
    <w:rPr>
      <w:rFonts w:asciiTheme="minorHAnsi" w:hAnsiTheme="minorHAnsi" w:cs="Times New Roman"/>
      <w:sz w:val="22"/>
      <w:szCs w:val="26"/>
    </w:rPr>
  </w:style>
  <w:style w:type="paragraph" w:styleId="TOC6">
    <w:name w:val="toc 6"/>
    <w:basedOn w:val="Normal"/>
    <w:next w:val="Normal"/>
    <w:autoRedefine/>
    <w:uiPriority w:val="39"/>
    <w:semiHidden/>
    <w:unhideWhenUsed/>
    <w:rsid w:val="003168F8"/>
    <w:pPr>
      <w:spacing w:before="0" w:after="0"/>
      <w:jc w:val="left"/>
    </w:pPr>
    <w:rPr>
      <w:rFonts w:asciiTheme="minorHAnsi" w:hAnsiTheme="minorHAnsi" w:cs="Times New Roman"/>
      <w:sz w:val="22"/>
      <w:szCs w:val="26"/>
    </w:rPr>
  </w:style>
  <w:style w:type="paragraph" w:styleId="TOC7">
    <w:name w:val="toc 7"/>
    <w:basedOn w:val="Normal"/>
    <w:next w:val="Normal"/>
    <w:autoRedefine/>
    <w:uiPriority w:val="39"/>
    <w:semiHidden/>
    <w:unhideWhenUsed/>
    <w:rsid w:val="003168F8"/>
    <w:pPr>
      <w:spacing w:before="0" w:after="0"/>
      <w:jc w:val="left"/>
    </w:pPr>
    <w:rPr>
      <w:rFonts w:asciiTheme="minorHAnsi" w:hAnsiTheme="minorHAnsi" w:cs="Times New Roman"/>
      <w:sz w:val="22"/>
      <w:szCs w:val="26"/>
    </w:rPr>
  </w:style>
  <w:style w:type="paragraph" w:styleId="TOC8">
    <w:name w:val="toc 8"/>
    <w:basedOn w:val="Normal"/>
    <w:next w:val="Normal"/>
    <w:autoRedefine/>
    <w:uiPriority w:val="39"/>
    <w:semiHidden/>
    <w:unhideWhenUsed/>
    <w:rsid w:val="003168F8"/>
    <w:pPr>
      <w:spacing w:before="0" w:after="0"/>
      <w:jc w:val="left"/>
    </w:pPr>
    <w:rPr>
      <w:rFonts w:asciiTheme="minorHAnsi" w:hAnsiTheme="minorHAnsi" w:cs="Times New Roman"/>
      <w:sz w:val="22"/>
      <w:szCs w:val="26"/>
    </w:rPr>
  </w:style>
  <w:style w:type="paragraph" w:styleId="TOC9">
    <w:name w:val="toc 9"/>
    <w:basedOn w:val="Normal"/>
    <w:next w:val="Normal"/>
    <w:autoRedefine/>
    <w:uiPriority w:val="39"/>
    <w:semiHidden/>
    <w:unhideWhenUsed/>
    <w:rsid w:val="003168F8"/>
    <w:pPr>
      <w:spacing w:before="0" w:after="0"/>
      <w:jc w:val="left"/>
    </w:pPr>
    <w:rPr>
      <w:rFonts w:asciiTheme="minorHAnsi" w:hAnsiTheme="minorHAnsi" w:cs="Times New Roman"/>
      <w:sz w:val="22"/>
      <w:szCs w:val="26"/>
    </w:rPr>
  </w:style>
  <w:style w:type="paragraph" w:styleId="HTMLPreformatted">
    <w:name w:val="HTML Preformatted"/>
    <w:basedOn w:val="Normal"/>
    <w:link w:val="HTMLPreformattedChar"/>
    <w:uiPriority w:val="99"/>
    <w:semiHidden/>
    <w:unhideWhenUsed/>
    <w:rsid w:val="00A73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Cs w:val="20"/>
      <w:lang w:eastAsia="en-GB" w:bidi="he-IL"/>
    </w:rPr>
  </w:style>
  <w:style w:type="character" w:customStyle="1" w:styleId="HTMLPreformattedChar">
    <w:name w:val="HTML Preformatted Char"/>
    <w:basedOn w:val="DefaultParagraphFont"/>
    <w:link w:val="HTMLPreformatted"/>
    <w:uiPriority w:val="99"/>
    <w:semiHidden/>
    <w:rsid w:val="00A7375C"/>
    <w:rPr>
      <w:rFonts w:ascii="Courier New" w:eastAsia="Times New Roman" w:hAnsi="Courier New" w:cs="Courier New"/>
      <w:sz w:val="20"/>
      <w:szCs w:val="20"/>
      <w:lang w:eastAsia="en-GB" w:bidi="he-IL"/>
    </w:rPr>
  </w:style>
  <w:style w:type="character" w:customStyle="1" w:styleId="y2iqfc">
    <w:name w:val="y2iqfc"/>
    <w:basedOn w:val="DefaultParagraphFont"/>
    <w:rsid w:val="00A7375C"/>
  </w:style>
  <w:style w:type="paragraph" w:styleId="EndnoteText">
    <w:name w:val="endnote text"/>
    <w:basedOn w:val="Normal"/>
    <w:link w:val="EndnoteTextChar"/>
    <w:uiPriority w:val="99"/>
    <w:semiHidden/>
    <w:unhideWhenUsed/>
    <w:rsid w:val="00C12B68"/>
    <w:pPr>
      <w:spacing w:before="0" w:after="0" w:line="240" w:lineRule="auto"/>
    </w:pPr>
    <w:rPr>
      <w:szCs w:val="20"/>
    </w:rPr>
  </w:style>
  <w:style w:type="character" w:customStyle="1" w:styleId="EndnoteTextChar">
    <w:name w:val="Endnote Text Char"/>
    <w:basedOn w:val="DefaultParagraphFont"/>
    <w:link w:val="EndnoteText"/>
    <w:uiPriority w:val="99"/>
    <w:semiHidden/>
    <w:rsid w:val="00C12B68"/>
    <w:rPr>
      <w:rFonts w:ascii="Times New Roman" w:eastAsiaTheme="majorEastAsia" w:hAnsi="Times New Roman" w:cstheme="majorBid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3364">
      <w:bodyDiv w:val="1"/>
      <w:marLeft w:val="0"/>
      <w:marRight w:val="0"/>
      <w:marTop w:val="0"/>
      <w:marBottom w:val="0"/>
      <w:divBdr>
        <w:top w:val="none" w:sz="0" w:space="0" w:color="auto"/>
        <w:left w:val="none" w:sz="0" w:space="0" w:color="auto"/>
        <w:bottom w:val="none" w:sz="0" w:space="0" w:color="auto"/>
        <w:right w:val="none" w:sz="0" w:space="0" w:color="auto"/>
      </w:divBdr>
    </w:div>
    <w:div w:id="249237421">
      <w:bodyDiv w:val="1"/>
      <w:marLeft w:val="0"/>
      <w:marRight w:val="0"/>
      <w:marTop w:val="0"/>
      <w:marBottom w:val="0"/>
      <w:divBdr>
        <w:top w:val="none" w:sz="0" w:space="0" w:color="auto"/>
        <w:left w:val="none" w:sz="0" w:space="0" w:color="auto"/>
        <w:bottom w:val="none" w:sz="0" w:space="0" w:color="auto"/>
        <w:right w:val="none" w:sz="0" w:space="0" w:color="auto"/>
      </w:divBdr>
    </w:div>
    <w:div w:id="328947506">
      <w:bodyDiv w:val="1"/>
      <w:marLeft w:val="0"/>
      <w:marRight w:val="0"/>
      <w:marTop w:val="0"/>
      <w:marBottom w:val="0"/>
      <w:divBdr>
        <w:top w:val="none" w:sz="0" w:space="0" w:color="auto"/>
        <w:left w:val="none" w:sz="0" w:space="0" w:color="auto"/>
        <w:bottom w:val="none" w:sz="0" w:space="0" w:color="auto"/>
        <w:right w:val="none" w:sz="0" w:space="0" w:color="auto"/>
      </w:divBdr>
    </w:div>
    <w:div w:id="334842779">
      <w:bodyDiv w:val="1"/>
      <w:marLeft w:val="0"/>
      <w:marRight w:val="0"/>
      <w:marTop w:val="0"/>
      <w:marBottom w:val="0"/>
      <w:divBdr>
        <w:top w:val="none" w:sz="0" w:space="0" w:color="auto"/>
        <w:left w:val="none" w:sz="0" w:space="0" w:color="auto"/>
        <w:bottom w:val="none" w:sz="0" w:space="0" w:color="auto"/>
        <w:right w:val="none" w:sz="0" w:space="0" w:color="auto"/>
      </w:divBdr>
    </w:div>
    <w:div w:id="678628838">
      <w:bodyDiv w:val="1"/>
      <w:marLeft w:val="0"/>
      <w:marRight w:val="0"/>
      <w:marTop w:val="0"/>
      <w:marBottom w:val="0"/>
      <w:divBdr>
        <w:top w:val="none" w:sz="0" w:space="0" w:color="auto"/>
        <w:left w:val="none" w:sz="0" w:space="0" w:color="auto"/>
        <w:bottom w:val="none" w:sz="0" w:space="0" w:color="auto"/>
        <w:right w:val="none" w:sz="0" w:space="0" w:color="auto"/>
      </w:divBdr>
      <w:divsChild>
        <w:div w:id="819537198">
          <w:marLeft w:val="0"/>
          <w:marRight w:val="0"/>
          <w:marTop w:val="0"/>
          <w:marBottom w:val="0"/>
          <w:divBdr>
            <w:top w:val="none" w:sz="0" w:space="0" w:color="auto"/>
            <w:left w:val="none" w:sz="0" w:space="0" w:color="auto"/>
            <w:bottom w:val="none" w:sz="0" w:space="0" w:color="auto"/>
            <w:right w:val="none" w:sz="0" w:space="0" w:color="auto"/>
          </w:divBdr>
        </w:div>
        <w:div w:id="1948543613">
          <w:marLeft w:val="0"/>
          <w:marRight w:val="0"/>
          <w:marTop w:val="0"/>
          <w:marBottom w:val="0"/>
          <w:divBdr>
            <w:top w:val="none" w:sz="0" w:space="0" w:color="auto"/>
            <w:left w:val="none" w:sz="0" w:space="0" w:color="auto"/>
            <w:bottom w:val="none" w:sz="0" w:space="0" w:color="auto"/>
            <w:right w:val="none" w:sz="0" w:space="0" w:color="auto"/>
          </w:divBdr>
        </w:div>
        <w:div w:id="1861429829">
          <w:marLeft w:val="0"/>
          <w:marRight w:val="0"/>
          <w:marTop w:val="0"/>
          <w:marBottom w:val="0"/>
          <w:divBdr>
            <w:top w:val="none" w:sz="0" w:space="0" w:color="auto"/>
            <w:left w:val="none" w:sz="0" w:space="0" w:color="auto"/>
            <w:bottom w:val="none" w:sz="0" w:space="0" w:color="auto"/>
            <w:right w:val="none" w:sz="0" w:space="0" w:color="auto"/>
          </w:divBdr>
        </w:div>
      </w:divsChild>
    </w:div>
    <w:div w:id="787822606">
      <w:bodyDiv w:val="1"/>
      <w:marLeft w:val="0"/>
      <w:marRight w:val="0"/>
      <w:marTop w:val="0"/>
      <w:marBottom w:val="0"/>
      <w:divBdr>
        <w:top w:val="none" w:sz="0" w:space="0" w:color="auto"/>
        <w:left w:val="none" w:sz="0" w:space="0" w:color="auto"/>
        <w:bottom w:val="none" w:sz="0" w:space="0" w:color="auto"/>
        <w:right w:val="none" w:sz="0" w:space="0" w:color="auto"/>
      </w:divBdr>
    </w:div>
    <w:div w:id="877082534">
      <w:bodyDiv w:val="1"/>
      <w:marLeft w:val="0"/>
      <w:marRight w:val="0"/>
      <w:marTop w:val="0"/>
      <w:marBottom w:val="0"/>
      <w:divBdr>
        <w:top w:val="none" w:sz="0" w:space="0" w:color="auto"/>
        <w:left w:val="none" w:sz="0" w:space="0" w:color="auto"/>
        <w:bottom w:val="none" w:sz="0" w:space="0" w:color="auto"/>
        <w:right w:val="none" w:sz="0" w:space="0" w:color="auto"/>
      </w:divBdr>
    </w:div>
    <w:div w:id="1020204597">
      <w:bodyDiv w:val="1"/>
      <w:marLeft w:val="0"/>
      <w:marRight w:val="0"/>
      <w:marTop w:val="0"/>
      <w:marBottom w:val="0"/>
      <w:divBdr>
        <w:top w:val="none" w:sz="0" w:space="0" w:color="auto"/>
        <w:left w:val="none" w:sz="0" w:space="0" w:color="auto"/>
        <w:bottom w:val="none" w:sz="0" w:space="0" w:color="auto"/>
        <w:right w:val="none" w:sz="0" w:space="0" w:color="auto"/>
      </w:divBdr>
    </w:div>
    <w:div w:id="1040470028">
      <w:bodyDiv w:val="1"/>
      <w:marLeft w:val="0"/>
      <w:marRight w:val="0"/>
      <w:marTop w:val="0"/>
      <w:marBottom w:val="0"/>
      <w:divBdr>
        <w:top w:val="none" w:sz="0" w:space="0" w:color="auto"/>
        <w:left w:val="none" w:sz="0" w:space="0" w:color="auto"/>
        <w:bottom w:val="none" w:sz="0" w:space="0" w:color="auto"/>
        <w:right w:val="none" w:sz="0" w:space="0" w:color="auto"/>
      </w:divBdr>
    </w:div>
    <w:div w:id="1189836361">
      <w:bodyDiv w:val="1"/>
      <w:marLeft w:val="0"/>
      <w:marRight w:val="0"/>
      <w:marTop w:val="0"/>
      <w:marBottom w:val="0"/>
      <w:divBdr>
        <w:top w:val="none" w:sz="0" w:space="0" w:color="auto"/>
        <w:left w:val="none" w:sz="0" w:space="0" w:color="auto"/>
        <w:bottom w:val="none" w:sz="0" w:space="0" w:color="auto"/>
        <w:right w:val="none" w:sz="0" w:space="0" w:color="auto"/>
      </w:divBdr>
    </w:div>
    <w:div w:id="1205601411">
      <w:bodyDiv w:val="1"/>
      <w:marLeft w:val="0"/>
      <w:marRight w:val="0"/>
      <w:marTop w:val="0"/>
      <w:marBottom w:val="0"/>
      <w:divBdr>
        <w:top w:val="none" w:sz="0" w:space="0" w:color="auto"/>
        <w:left w:val="none" w:sz="0" w:space="0" w:color="auto"/>
        <w:bottom w:val="none" w:sz="0" w:space="0" w:color="auto"/>
        <w:right w:val="none" w:sz="0" w:space="0" w:color="auto"/>
      </w:divBdr>
    </w:div>
    <w:div w:id="1209491675">
      <w:bodyDiv w:val="1"/>
      <w:marLeft w:val="0"/>
      <w:marRight w:val="0"/>
      <w:marTop w:val="0"/>
      <w:marBottom w:val="0"/>
      <w:divBdr>
        <w:top w:val="none" w:sz="0" w:space="0" w:color="auto"/>
        <w:left w:val="none" w:sz="0" w:space="0" w:color="auto"/>
        <w:bottom w:val="none" w:sz="0" w:space="0" w:color="auto"/>
        <w:right w:val="none" w:sz="0" w:space="0" w:color="auto"/>
      </w:divBdr>
    </w:div>
    <w:div w:id="1218398679">
      <w:bodyDiv w:val="1"/>
      <w:marLeft w:val="0"/>
      <w:marRight w:val="0"/>
      <w:marTop w:val="0"/>
      <w:marBottom w:val="0"/>
      <w:divBdr>
        <w:top w:val="none" w:sz="0" w:space="0" w:color="auto"/>
        <w:left w:val="none" w:sz="0" w:space="0" w:color="auto"/>
        <w:bottom w:val="none" w:sz="0" w:space="0" w:color="auto"/>
        <w:right w:val="none" w:sz="0" w:space="0" w:color="auto"/>
      </w:divBdr>
    </w:div>
    <w:div w:id="1244101384">
      <w:bodyDiv w:val="1"/>
      <w:marLeft w:val="0"/>
      <w:marRight w:val="0"/>
      <w:marTop w:val="0"/>
      <w:marBottom w:val="0"/>
      <w:divBdr>
        <w:top w:val="none" w:sz="0" w:space="0" w:color="auto"/>
        <w:left w:val="none" w:sz="0" w:space="0" w:color="auto"/>
        <w:bottom w:val="none" w:sz="0" w:space="0" w:color="auto"/>
        <w:right w:val="none" w:sz="0" w:space="0" w:color="auto"/>
      </w:divBdr>
    </w:div>
    <w:div w:id="1267928128">
      <w:bodyDiv w:val="1"/>
      <w:marLeft w:val="0"/>
      <w:marRight w:val="0"/>
      <w:marTop w:val="0"/>
      <w:marBottom w:val="0"/>
      <w:divBdr>
        <w:top w:val="none" w:sz="0" w:space="0" w:color="auto"/>
        <w:left w:val="none" w:sz="0" w:space="0" w:color="auto"/>
        <w:bottom w:val="none" w:sz="0" w:space="0" w:color="auto"/>
        <w:right w:val="none" w:sz="0" w:space="0" w:color="auto"/>
      </w:divBdr>
    </w:div>
    <w:div w:id="1318219793">
      <w:bodyDiv w:val="1"/>
      <w:marLeft w:val="0"/>
      <w:marRight w:val="0"/>
      <w:marTop w:val="0"/>
      <w:marBottom w:val="0"/>
      <w:divBdr>
        <w:top w:val="none" w:sz="0" w:space="0" w:color="auto"/>
        <w:left w:val="none" w:sz="0" w:space="0" w:color="auto"/>
        <w:bottom w:val="none" w:sz="0" w:space="0" w:color="auto"/>
        <w:right w:val="none" w:sz="0" w:space="0" w:color="auto"/>
      </w:divBdr>
    </w:div>
    <w:div w:id="1444298666">
      <w:bodyDiv w:val="1"/>
      <w:marLeft w:val="0"/>
      <w:marRight w:val="0"/>
      <w:marTop w:val="0"/>
      <w:marBottom w:val="0"/>
      <w:divBdr>
        <w:top w:val="none" w:sz="0" w:space="0" w:color="auto"/>
        <w:left w:val="none" w:sz="0" w:space="0" w:color="auto"/>
        <w:bottom w:val="none" w:sz="0" w:space="0" w:color="auto"/>
        <w:right w:val="none" w:sz="0" w:space="0" w:color="auto"/>
      </w:divBdr>
    </w:div>
    <w:div w:id="1585919352">
      <w:bodyDiv w:val="1"/>
      <w:marLeft w:val="0"/>
      <w:marRight w:val="0"/>
      <w:marTop w:val="0"/>
      <w:marBottom w:val="0"/>
      <w:divBdr>
        <w:top w:val="none" w:sz="0" w:space="0" w:color="auto"/>
        <w:left w:val="none" w:sz="0" w:space="0" w:color="auto"/>
        <w:bottom w:val="none" w:sz="0" w:space="0" w:color="auto"/>
        <w:right w:val="none" w:sz="0" w:space="0" w:color="auto"/>
      </w:divBdr>
      <w:divsChild>
        <w:div w:id="461655272">
          <w:marLeft w:val="0"/>
          <w:marRight w:val="0"/>
          <w:marTop w:val="0"/>
          <w:marBottom w:val="0"/>
          <w:divBdr>
            <w:top w:val="none" w:sz="0" w:space="0" w:color="auto"/>
            <w:left w:val="none" w:sz="0" w:space="0" w:color="auto"/>
            <w:bottom w:val="none" w:sz="0" w:space="0" w:color="auto"/>
            <w:right w:val="none" w:sz="0" w:space="0" w:color="auto"/>
          </w:divBdr>
        </w:div>
        <w:div w:id="478620551">
          <w:marLeft w:val="0"/>
          <w:marRight w:val="0"/>
          <w:marTop w:val="0"/>
          <w:marBottom w:val="0"/>
          <w:divBdr>
            <w:top w:val="none" w:sz="0" w:space="0" w:color="auto"/>
            <w:left w:val="none" w:sz="0" w:space="0" w:color="auto"/>
            <w:bottom w:val="none" w:sz="0" w:space="0" w:color="auto"/>
            <w:right w:val="none" w:sz="0" w:space="0" w:color="auto"/>
          </w:divBdr>
          <w:divsChild>
            <w:div w:id="1321538937">
              <w:marLeft w:val="0"/>
              <w:marRight w:val="165"/>
              <w:marTop w:val="150"/>
              <w:marBottom w:val="0"/>
              <w:divBdr>
                <w:top w:val="none" w:sz="0" w:space="0" w:color="auto"/>
                <w:left w:val="none" w:sz="0" w:space="0" w:color="auto"/>
                <w:bottom w:val="none" w:sz="0" w:space="0" w:color="auto"/>
                <w:right w:val="none" w:sz="0" w:space="0" w:color="auto"/>
              </w:divBdr>
              <w:divsChild>
                <w:div w:id="839154558">
                  <w:marLeft w:val="0"/>
                  <w:marRight w:val="0"/>
                  <w:marTop w:val="0"/>
                  <w:marBottom w:val="0"/>
                  <w:divBdr>
                    <w:top w:val="none" w:sz="0" w:space="0" w:color="auto"/>
                    <w:left w:val="none" w:sz="0" w:space="0" w:color="auto"/>
                    <w:bottom w:val="none" w:sz="0" w:space="0" w:color="auto"/>
                    <w:right w:val="none" w:sz="0" w:space="0" w:color="auto"/>
                  </w:divBdr>
                  <w:divsChild>
                    <w:div w:id="2541715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55839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44906">
      <w:bodyDiv w:val="1"/>
      <w:marLeft w:val="0"/>
      <w:marRight w:val="0"/>
      <w:marTop w:val="0"/>
      <w:marBottom w:val="0"/>
      <w:divBdr>
        <w:top w:val="none" w:sz="0" w:space="0" w:color="auto"/>
        <w:left w:val="none" w:sz="0" w:space="0" w:color="auto"/>
        <w:bottom w:val="none" w:sz="0" w:space="0" w:color="auto"/>
        <w:right w:val="none" w:sz="0" w:space="0" w:color="auto"/>
      </w:divBdr>
    </w:div>
    <w:div w:id="1671979004">
      <w:bodyDiv w:val="1"/>
      <w:marLeft w:val="0"/>
      <w:marRight w:val="0"/>
      <w:marTop w:val="0"/>
      <w:marBottom w:val="0"/>
      <w:divBdr>
        <w:top w:val="none" w:sz="0" w:space="0" w:color="auto"/>
        <w:left w:val="none" w:sz="0" w:space="0" w:color="auto"/>
        <w:bottom w:val="none" w:sz="0" w:space="0" w:color="auto"/>
        <w:right w:val="none" w:sz="0" w:space="0" w:color="auto"/>
      </w:divBdr>
    </w:div>
    <w:div w:id="1745759406">
      <w:bodyDiv w:val="1"/>
      <w:marLeft w:val="0"/>
      <w:marRight w:val="0"/>
      <w:marTop w:val="0"/>
      <w:marBottom w:val="0"/>
      <w:divBdr>
        <w:top w:val="none" w:sz="0" w:space="0" w:color="auto"/>
        <w:left w:val="none" w:sz="0" w:space="0" w:color="auto"/>
        <w:bottom w:val="none" w:sz="0" w:space="0" w:color="auto"/>
        <w:right w:val="none" w:sz="0" w:space="0" w:color="auto"/>
      </w:divBdr>
      <w:divsChild>
        <w:div w:id="1155877235">
          <w:marLeft w:val="0"/>
          <w:marRight w:val="0"/>
          <w:marTop w:val="0"/>
          <w:marBottom w:val="0"/>
          <w:divBdr>
            <w:top w:val="none" w:sz="0" w:space="0" w:color="auto"/>
            <w:left w:val="none" w:sz="0" w:space="0" w:color="auto"/>
            <w:bottom w:val="none" w:sz="0" w:space="0" w:color="auto"/>
            <w:right w:val="none" w:sz="0" w:space="0" w:color="auto"/>
          </w:divBdr>
        </w:div>
        <w:div w:id="1542328642">
          <w:marLeft w:val="0"/>
          <w:marRight w:val="0"/>
          <w:marTop w:val="0"/>
          <w:marBottom w:val="0"/>
          <w:divBdr>
            <w:top w:val="none" w:sz="0" w:space="0" w:color="auto"/>
            <w:left w:val="none" w:sz="0" w:space="0" w:color="auto"/>
            <w:bottom w:val="none" w:sz="0" w:space="0" w:color="auto"/>
            <w:right w:val="none" w:sz="0" w:space="0" w:color="auto"/>
          </w:divBdr>
        </w:div>
        <w:div w:id="821655006">
          <w:marLeft w:val="0"/>
          <w:marRight w:val="0"/>
          <w:marTop w:val="0"/>
          <w:marBottom w:val="0"/>
          <w:divBdr>
            <w:top w:val="none" w:sz="0" w:space="0" w:color="auto"/>
            <w:left w:val="none" w:sz="0" w:space="0" w:color="auto"/>
            <w:bottom w:val="none" w:sz="0" w:space="0" w:color="auto"/>
            <w:right w:val="none" w:sz="0" w:space="0" w:color="auto"/>
          </w:divBdr>
        </w:div>
      </w:divsChild>
    </w:div>
    <w:div w:id="1766923137">
      <w:bodyDiv w:val="1"/>
      <w:marLeft w:val="0"/>
      <w:marRight w:val="0"/>
      <w:marTop w:val="0"/>
      <w:marBottom w:val="0"/>
      <w:divBdr>
        <w:top w:val="none" w:sz="0" w:space="0" w:color="auto"/>
        <w:left w:val="none" w:sz="0" w:space="0" w:color="auto"/>
        <w:bottom w:val="none" w:sz="0" w:space="0" w:color="auto"/>
        <w:right w:val="none" w:sz="0" w:space="0" w:color="auto"/>
      </w:divBdr>
    </w:div>
    <w:div w:id="1889603537">
      <w:bodyDiv w:val="1"/>
      <w:marLeft w:val="0"/>
      <w:marRight w:val="0"/>
      <w:marTop w:val="0"/>
      <w:marBottom w:val="0"/>
      <w:divBdr>
        <w:top w:val="none" w:sz="0" w:space="0" w:color="auto"/>
        <w:left w:val="none" w:sz="0" w:space="0" w:color="auto"/>
        <w:bottom w:val="none" w:sz="0" w:space="0" w:color="auto"/>
        <w:right w:val="none" w:sz="0" w:space="0" w:color="auto"/>
      </w:divBdr>
    </w:div>
    <w:div w:id="1920556785">
      <w:bodyDiv w:val="1"/>
      <w:marLeft w:val="0"/>
      <w:marRight w:val="0"/>
      <w:marTop w:val="0"/>
      <w:marBottom w:val="0"/>
      <w:divBdr>
        <w:top w:val="none" w:sz="0" w:space="0" w:color="auto"/>
        <w:left w:val="none" w:sz="0" w:space="0" w:color="auto"/>
        <w:bottom w:val="none" w:sz="0" w:space="0" w:color="auto"/>
        <w:right w:val="none" w:sz="0" w:space="0" w:color="auto"/>
      </w:divBdr>
    </w:div>
    <w:div w:id="2074038385">
      <w:bodyDiv w:val="1"/>
      <w:marLeft w:val="0"/>
      <w:marRight w:val="0"/>
      <w:marTop w:val="0"/>
      <w:marBottom w:val="0"/>
      <w:divBdr>
        <w:top w:val="none" w:sz="0" w:space="0" w:color="auto"/>
        <w:left w:val="none" w:sz="0" w:space="0" w:color="auto"/>
        <w:bottom w:val="none" w:sz="0" w:space="0" w:color="auto"/>
        <w:right w:val="none" w:sz="0" w:space="0" w:color="auto"/>
      </w:divBdr>
    </w:div>
    <w:div w:id="2082021598">
      <w:bodyDiv w:val="1"/>
      <w:marLeft w:val="0"/>
      <w:marRight w:val="0"/>
      <w:marTop w:val="0"/>
      <w:marBottom w:val="0"/>
      <w:divBdr>
        <w:top w:val="none" w:sz="0" w:space="0" w:color="auto"/>
        <w:left w:val="none" w:sz="0" w:space="0" w:color="auto"/>
        <w:bottom w:val="none" w:sz="0" w:space="0" w:color="auto"/>
        <w:right w:val="none" w:sz="0" w:space="0" w:color="auto"/>
      </w:divBdr>
      <w:divsChild>
        <w:div w:id="90786722">
          <w:marLeft w:val="0"/>
          <w:marRight w:val="0"/>
          <w:marTop w:val="0"/>
          <w:marBottom w:val="0"/>
          <w:divBdr>
            <w:top w:val="none" w:sz="0" w:space="0" w:color="auto"/>
            <w:left w:val="none" w:sz="0" w:space="0" w:color="auto"/>
            <w:bottom w:val="none" w:sz="0" w:space="0" w:color="auto"/>
            <w:right w:val="none" w:sz="0" w:space="0" w:color="auto"/>
          </w:divBdr>
        </w:div>
        <w:div w:id="928008156">
          <w:marLeft w:val="0"/>
          <w:marRight w:val="0"/>
          <w:marTop w:val="0"/>
          <w:marBottom w:val="0"/>
          <w:divBdr>
            <w:top w:val="none" w:sz="0" w:space="0" w:color="auto"/>
            <w:left w:val="none" w:sz="0" w:space="0" w:color="auto"/>
            <w:bottom w:val="none" w:sz="0" w:space="0" w:color="auto"/>
            <w:right w:val="none" w:sz="0" w:space="0" w:color="auto"/>
          </w:divBdr>
        </w:div>
        <w:div w:id="1466897289">
          <w:marLeft w:val="0"/>
          <w:marRight w:val="0"/>
          <w:marTop w:val="0"/>
          <w:marBottom w:val="0"/>
          <w:divBdr>
            <w:top w:val="none" w:sz="0" w:space="0" w:color="auto"/>
            <w:left w:val="none" w:sz="0" w:space="0" w:color="auto"/>
            <w:bottom w:val="none" w:sz="0" w:space="0" w:color="auto"/>
            <w:right w:val="none" w:sz="0" w:space="0" w:color="auto"/>
          </w:divBdr>
        </w:div>
      </w:divsChild>
    </w:div>
    <w:div w:id="21448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psnaps.org/app/uploads/2019/09/Switzerland-NAP-3-2013-2016.pdf" TargetMode="External"/><Relationship Id="rId21" Type="http://schemas.openxmlformats.org/officeDocument/2006/relationships/hyperlink" Target="https://www.wpsnaps.org/app/uploads/2019/09/Bosnia-and-Herzegovina-NAP-2-2014-2017.pdf" TargetMode="External"/><Relationship Id="rId42" Type="http://schemas.openxmlformats.org/officeDocument/2006/relationships/hyperlink" Target="https://www.wpsnaps.org/app/uploads/2019/09/Estonia-NAP-1-2010-2014.pdf" TargetMode="External"/><Relationship Id="rId63" Type="http://schemas.openxmlformats.org/officeDocument/2006/relationships/hyperlink" Target="https://www.wpsnaps.org/app/uploads/2019/09/Iceland-NAP-2-2013-2016.pdf" TargetMode="External"/><Relationship Id="rId84" Type="http://schemas.openxmlformats.org/officeDocument/2006/relationships/hyperlink" Target="https://www.ilo.org/dyn/natlex/docs/ELECTRONIC/81082/100526/F1154516878/MDA-81082%20(EN).pdf" TargetMode="External"/><Relationship Id="rId16" Type="http://schemas.openxmlformats.org/officeDocument/2006/relationships/hyperlink" Target="https://www.wpsnaps.org/app/uploads/2022/12/Azerbaijan-2020-2023.pdf" TargetMode="External"/><Relationship Id="rId107" Type="http://schemas.openxmlformats.org/officeDocument/2006/relationships/hyperlink" Target="https://www.wpsnaps.org/app/uploads/2021/01/Slovakia-NAP-2021-2025.pdf" TargetMode="External"/><Relationship Id="rId11" Type="http://schemas.openxmlformats.org/officeDocument/2006/relationships/hyperlink" Target="https://www.wpsnaps.org/app/uploads/2019/09/Armenia-NAP-2019-2021-unofficial-translation.pdf" TargetMode="External"/><Relationship Id="rId32" Type="http://schemas.openxmlformats.org/officeDocument/2006/relationships/hyperlink" Target="https://www.wpsnaps.org/app/uploads/2019/09/Czech-Republic-NAP-2017-2020.pdf" TargetMode="External"/><Relationship Id="rId37" Type="http://schemas.openxmlformats.org/officeDocument/2006/relationships/hyperlink" Target="https://www.wpsnaps.org/app/uploads/2021/11/Denmark-NAP-4-2020-2024.pdf" TargetMode="External"/><Relationship Id="rId53" Type="http://schemas.openxmlformats.org/officeDocument/2006/relationships/hyperlink" Target="https://www.wpsnaps.org/app/uploads/2019/09/Georgia-NAP-1-2012-2015.pdf" TargetMode="External"/><Relationship Id="rId58" Type="http://schemas.openxmlformats.org/officeDocument/2006/relationships/hyperlink" Target="https://www.wpsnaps.org/app/uploads/2019/09/Germany-NAP-1-2013-2016.pdf" TargetMode="External"/><Relationship Id="rId74" Type="http://schemas.openxmlformats.org/officeDocument/2006/relationships/hyperlink" Target="https://www.wpsnaps.org/app/uploads/2019/09/Italy-NAP-1-2010-2013.pdf" TargetMode="External"/><Relationship Id="rId79" Type="http://schemas.openxmlformats.org/officeDocument/2006/relationships/hyperlink" Target="https://www.wpsnaps.org/app/uploads/2021/01/Latvia-NAP-2020-2025.pdf" TargetMode="External"/><Relationship Id="rId102" Type="http://schemas.openxmlformats.org/officeDocument/2006/relationships/hyperlink" Target="https://www.wpsnaps.org/app/uploads/2021/11/Portugal-2019-NAP-3-2019-2022-English-translation-DP160100212.pdf" TargetMode="External"/><Relationship Id="rId123" Type="http://schemas.openxmlformats.org/officeDocument/2006/relationships/hyperlink" Target="https://www.wpsnaps.org/app/uploads/2019/10/United-Kingdom-NAP-1-2006.pdf" TargetMode="External"/><Relationship Id="rId128" Type="http://schemas.openxmlformats.org/officeDocument/2006/relationships/hyperlink" Target="https://laws-lois.justice.gc.ca/eng/acts/e-5.401/page-1.html" TargetMode="External"/><Relationship Id="rId5" Type="http://schemas.openxmlformats.org/officeDocument/2006/relationships/webSettings" Target="webSettings.xml"/><Relationship Id="rId90" Type="http://schemas.openxmlformats.org/officeDocument/2006/relationships/hyperlink" Target="https://www.wpsnaps.org/app/uploads/2019/09/Netherlands-NAP-1-2008-2011.pdf" TargetMode="External"/><Relationship Id="rId95" Type="http://schemas.openxmlformats.org/officeDocument/2006/relationships/hyperlink" Target="https://www.wpsnaps.org/app/uploads/2019/09/Norway-NAP-1-2006.pdf" TargetMode="External"/><Relationship Id="rId22" Type="http://schemas.openxmlformats.org/officeDocument/2006/relationships/hyperlink" Target="https://www.wpsnaps.org/app/uploads/2021/01/Bosnia-and-Herzegovina-NAP-3-2018-2022-English-translation.pdf" TargetMode="External"/><Relationship Id="rId27" Type="http://schemas.openxmlformats.org/officeDocument/2006/relationships/hyperlink" Target="https://www.ilo.org/dyn/natlex/docs/ELECTRONIC/83909/92965/F1671454996/HRV83909.pdf" TargetMode="External"/><Relationship Id="rId43" Type="http://schemas.openxmlformats.org/officeDocument/2006/relationships/hyperlink" Target="https://www.wpsnaps.org/app/uploads/2019/09/Estonia-NAP-2-2015-2019.pdf" TargetMode="External"/><Relationship Id="rId48" Type="http://schemas.openxmlformats.org/officeDocument/2006/relationships/hyperlink" Target="https://www.ilo.org/dyn/natlex/docs/ELECTRONIC/90185/103814/F1438344398/FRA-90185.pdf" TargetMode="External"/><Relationship Id="rId64" Type="http://schemas.openxmlformats.org/officeDocument/2006/relationships/hyperlink" Target="https://www.wpsnaps.org/app/uploads/2019/09/Iceland-NAP-3-2018-2022.pdf" TargetMode="External"/><Relationship Id="rId69" Type="http://schemas.openxmlformats.org/officeDocument/2006/relationships/comments" Target="comments.xml"/><Relationship Id="rId113" Type="http://schemas.openxmlformats.org/officeDocument/2006/relationships/hyperlink" Target="https://www.wpsnaps.org/app/uploads/2019/09/Sweden-NAP-2-2009-2012.pdf" TargetMode="External"/><Relationship Id="rId118" Type="http://schemas.openxmlformats.org/officeDocument/2006/relationships/hyperlink" Target="https://www.wpsnaps.org/app/uploads/2019/09/Switzerland-NAP-4-2018-2022.pdf" TargetMode="External"/><Relationship Id="rId80" Type="http://schemas.openxmlformats.org/officeDocument/2006/relationships/hyperlink" Target="https://www.wpsnaps.org/app/uploads/2019/09/Lithuania-NAP-2011.pdf" TargetMode="External"/><Relationship Id="rId85" Type="http://schemas.openxmlformats.org/officeDocument/2006/relationships/hyperlink" Target="https://www.wpsnaps.org/app/uploads/2019/09/Moldova-NAP-2018-2021.pdf" TargetMode="External"/><Relationship Id="rId12" Type="http://schemas.openxmlformats.org/officeDocument/2006/relationships/hyperlink" Target="https://www.wpsnaps.org/app/uploads/2019/09/Austria-NAP-1-2007.pdf" TargetMode="External"/><Relationship Id="rId17" Type="http://schemas.openxmlformats.org/officeDocument/2006/relationships/hyperlink" Target="https://www.wpsnaps.org/app/uploads/2019/09/Belgium-NAP-1-2008-2012.pdf" TargetMode="External"/><Relationship Id="rId33" Type="http://schemas.openxmlformats.org/officeDocument/2006/relationships/hyperlink" Target="https://www.mzv.cz/jnp/en/foreign_relations/women_peace_and_security/index.html" TargetMode="External"/><Relationship Id="rId38" Type="http://schemas.openxmlformats.org/officeDocument/2006/relationships/hyperlink" Target="https://www.riigiteataja.ee/en/eli/530102013038/consolide" TargetMode="External"/><Relationship Id="rId59" Type="http://schemas.openxmlformats.org/officeDocument/2006/relationships/hyperlink" Target="https://www.wpsnaps.org/app/uploads/2019/09/Germany-NAP-2-2017-2020.pdf" TargetMode="External"/><Relationship Id="rId103" Type="http://schemas.openxmlformats.org/officeDocument/2006/relationships/hyperlink" Target="https://www.wpsnaps.org/app/uploads/2019/09/Romania-NAP-2014-2024-English-translation-DP160100212.pdf" TargetMode="External"/><Relationship Id="rId108" Type="http://schemas.openxmlformats.org/officeDocument/2006/relationships/hyperlink" Target="https://www.wpsnaps.org/app/uploads/2019/09/Slovenia-NAP-1-2010-2015.pdf" TargetMode="External"/><Relationship Id="rId124" Type="http://schemas.openxmlformats.org/officeDocument/2006/relationships/hyperlink" Target="https://www.wpsnaps.org/app/uploads/2019/09/United-Kingdom-NAP-2-2010-2013.pdf" TargetMode="External"/><Relationship Id="rId129" Type="http://schemas.openxmlformats.org/officeDocument/2006/relationships/hyperlink" Target="https://www.wpsnaps.org/app/uploads/2019/09/Canada-NAP-1-2010-2016.pdf" TargetMode="External"/><Relationship Id="rId54" Type="http://schemas.openxmlformats.org/officeDocument/2006/relationships/hyperlink" Target="https://www.wpsnaps.org/app/uploads/2019/09/Georgia-NAP-2-2016-2017.pdf" TargetMode="External"/><Relationship Id="rId70" Type="http://schemas.microsoft.com/office/2011/relationships/commentsExtended" Target="commentsExtended.xml"/><Relationship Id="rId75" Type="http://schemas.openxmlformats.org/officeDocument/2006/relationships/hyperlink" Target="https://www.wpsnaps.org/app/uploads/2019/09/Italy-NAP-2-2014-2016.pdf" TargetMode="External"/><Relationship Id="rId91" Type="http://schemas.openxmlformats.org/officeDocument/2006/relationships/hyperlink" Target="https://www.wpsnaps.org/app/uploads/2019/09/Netherlands-NAP-2-2012-2015.pdf" TargetMode="External"/><Relationship Id="rId96" Type="http://schemas.openxmlformats.org/officeDocument/2006/relationships/hyperlink" Target="https://www.wpsnaps.org/app/uploads/2019/09/Norway-NAP-2-2011-2013.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me.government.bg/en/library/civil-servants-act-381-c25-m1515-1.html" TargetMode="External"/><Relationship Id="rId28" Type="http://schemas.openxmlformats.org/officeDocument/2006/relationships/hyperlink" Target="https://www.globalwps.org/data/HRV/files/2011-2014.pdf" TargetMode="External"/><Relationship Id="rId49" Type="http://schemas.openxmlformats.org/officeDocument/2006/relationships/hyperlink" Target="https://www.legifrance.gouv.fr/codes/section_lc/LEGITEXT000044416551/LEGISCTA000044420921/2022-03-01" TargetMode="External"/><Relationship Id="rId114" Type="http://schemas.openxmlformats.org/officeDocument/2006/relationships/hyperlink" Target="https://www.wpsnaps.org/app/uploads/2019/09/Sweden-NAP-3-2016-2020.pdf" TargetMode="External"/><Relationship Id="rId119" Type="http://schemas.openxmlformats.org/officeDocument/2006/relationships/hyperlink" Target="https://www.wpsnaps.org/app/uploads/2019/09/Ukraine-NAP-2016-2020.pdf" TargetMode="External"/><Relationship Id="rId44" Type="http://schemas.openxmlformats.org/officeDocument/2006/relationships/hyperlink" Target="https://www.wpsnaps.org/app/uploads/2022/12/Estonia-NAP-3-2020-2025.pdf" TargetMode="External"/><Relationship Id="rId60" Type="http://schemas.openxmlformats.org/officeDocument/2006/relationships/hyperlink" Target="https://www.wpsnaps.org/app/uploads/2022/12/Germany-NAP-3-2021-2024.pdf" TargetMode="External"/><Relationship Id="rId65" Type="http://schemas.openxmlformats.org/officeDocument/2006/relationships/hyperlink" Target="https://www.irishstatutebook.ie/eli/2004/act/33/enacted/en/pdf" TargetMode="External"/><Relationship Id="rId81" Type="http://schemas.openxmlformats.org/officeDocument/2006/relationships/hyperlink" Target="https://www.wpsnaps.org/app/uploads/2022/12/Lithuania-NAP-2-2020-2024.pdf" TargetMode="External"/><Relationship Id="rId86" Type="http://schemas.openxmlformats.org/officeDocument/2006/relationships/hyperlink" Target="https://legimonaco.mc/tnc/loi/1975/07-12-975@2023.01.01/index.html" TargetMode="External"/><Relationship Id="rId130" Type="http://schemas.openxmlformats.org/officeDocument/2006/relationships/hyperlink" Target="https://www.international.gc.ca/transparency-transparence/women-peace-security-femmes-paix-securite/2017-2022-action-plan.aspx?lang=eng" TargetMode="External"/><Relationship Id="rId13" Type="http://schemas.openxmlformats.org/officeDocument/2006/relationships/hyperlink" Target="https://www.wpsnaps.org/app/uploads/2019/09/Austria-NAP-2-2012-2016.pdf" TargetMode="External"/><Relationship Id="rId18" Type="http://schemas.openxmlformats.org/officeDocument/2006/relationships/hyperlink" Target="https://www.wpsnaps.org/app/uploads/2019/09/Belgium-NAP-2-2013-2016.pdf" TargetMode="External"/><Relationship Id="rId39" Type="http://schemas.openxmlformats.org/officeDocument/2006/relationships/hyperlink" Target="https://www.riigiteataja.ee/en/eli/530102013038/consolide" TargetMode="External"/><Relationship Id="rId109" Type="http://schemas.openxmlformats.org/officeDocument/2006/relationships/hyperlink" Target="https://www.wpsnaps.org/app/uploads/2019/09/Slovenia-NAP-2-2018-2020-English-translation-DP160100212.pdf" TargetMode="External"/><Relationship Id="rId34" Type="http://schemas.openxmlformats.org/officeDocument/2006/relationships/hyperlink" Target="https://www.wpsnaps.org/app/uploads/2019/09/Denmark-NAP-1-2005.pdf" TargetMode="External"/><Relationship Id="rId50" Type="http://schemas.openxmlformats.org/officeDocument/2006/relationships/hyperlink" Target="https://www.wpsnaps.org/app/uploads/2019/09/France-NAP-1-2010-2013.pdf" TargetMode="External"/><Relationship Id="rId55" Type="http://schemas.openxmlformats.org/officeDocument/2006/relationships/hyperlink" Target="https://www.wpsnaps.org/app/uploads/2019/09/Georgia-NAP-3-2018-2021.pdf" TargetMode="External"/><Relationship Id="rId76" Type="http://schemas.openxmlformats.org/officeDocument/2006/relationships/hyperlink" Target="https://www.wpsnaps.org/app/uploads/2019/09/Italy-NAP-3-2016-2019.pdf" TargetMode="External"/><Relationship Id="rId97" Type="http://schemas.openxmlformats.org/officeDocument/2006/relationships/hyperlink" Target="https://www.wpsnaps.org/app/uploads/2019/09/Norway-NAP-3-2015-2018.pdf" TargetMode="External"/><Relationship Id="rId104" Type="http://schemas.openxmlformats.org/officeDocument/2006/relationships/hyperlink" Target="https://www.refworld.org/pdfid/604658994.pdf" TargetMode="External"/><Relationship Id="rId120" Type="http://schemas.openxmlformats.org/officeDocument/2006/relationships/hyperlink" Target="https://www.wpsnaps.org/app/uploads/2022/12/Ukraine-NAP2-2020-2025.pdf" TargetMode="External"/><Relationship Id="rId125" Type="http://schemas.openxmlformats.org/officeDocument/2006/relationships/hyperlink" Target="https://www.wpsnaps.org/app/uploads/2019/09/United-Kingdom-NAP-3-2014-2017.pdf" TargetMode="External"/><Relationship Id="rId7" Type="http://schemas.openxmlformats.org/officeDocument/2006/relationships/endnotes" Target="endnotes.xml"/><Relationship Id="rId71" Type="http://schemas.microsoft.com/office/2016/09/relationships/commentsIds" Target="commentsIds.xml"/><Relationship Id="rId92" Type="http://schemas.openxmlformats.org/officeDocument/2006/relationships/hyperlink" Target="https://www.wpsnaps.org/app/uploads/2019/09/Netherlands-NAP-3-2016-2019.pdf" TargetMode="External"/><Relationship Id="rId2" Type="http://schemas.openxmlformats.org/officeDocument/2006/relationships/numbering" Target="numbering.xml"/><Relationship Id="rId29" Type="http://schemas.openxmlformats.org/officeDocument/2006/relationships/hyperlink" Target="https://www.wpsnaps.org/app/uploads/2021/11/Croatia-NAP-2-2019-2023.pdf" TargetMode="External"/><Relationship Id="rId24" Type="http://schemas.openxmlformats.org/officeDocument/2006/relationships/hyperlink" Target="https://lex.bg/en/laws/ldoc/2136803101" TargetMode="External"/><Relationship Id="rId40" Type="http://schemas.openxmlformats.org/officeDocument/2006/relationships/hyperlink" Target="https://www.riigiteataja.ee/en/eli/530102013038/consolide" TargetMode="External"/><Relationship Id="rId45" Type="http://schemas.openxmlformats.org/officeDocument/2006/relationships/hyperlink" Target="https://www.wpsnaps.org/app/uploads/2019/09/Finland-NAP-1-2008-2011.pdf" TargetMode="External"/><Relationship Id="rId66" Type="http://schemas.openxmlformats.org/officeDocument/2006/relationships/hyperlink" Target="https://www.wpsnaps.org/app/uploads/2019/09/Ireland-NAP-1-2011-2014.pdf" TargetMode="External"/><Relationship Id="rId87" Type="http://schemas.openxmlformats.org/officeDocument/2006/relationships/hyperlink" Target="https://www.wpsnaps.org/app/uploads/2019/09/Montenegro-NAP-2017-2018.pdf" TargetMode="External"/><Relationship Id="rId110" Type="http://schemas.openxmlformats.org/officeDocument/2006/relationships/hyperlink" Target="https://www.wpsnaps.org/app/uploads/2019/09/Spain-NAP-1-2007.pdf" TargetMode="External"/><Relationship Id="rId115" Type="http://schemas.openxmlformats.org/officeDocument/2006/relationships/hyperlink" Target="https://www.wpsnaps.org/app/uploads/2019/09/Switzerland-NAP-1-2007-2009.pdf" TargetMode="External"/><Relationship Id="rId131" Type="http://schemas.openxmlformats.org/officeDocument/2006/relationships/fontTable" Target="fontTable.xml"/><Relationship Id="rId61" Type="http://schemas.openxmlformats.org/officeDocument/2006/relationships/hyperlink" Target="https://www.government.is/library/04-Legislation/Act%20on%20Equal%20Status%20and%20Equal%20Rights%20Irrespective%20of%20Gender.pdf" TargetMode="External"/><Relationship Id="rId82" Type="http://schemas.openxmlformats.org/officeDocument/2006/relationships/hyperlink" Target="https://www.wpsnaps.org/app/uploads/2019/09/Luembourg-NAP_English-2018-2023.pdf" TargetMode="External"/><Relationship Id="rId19" Type="http://schemas.openxmlformats.org/officeDocument/2006/relationships/hyperlink" Target="https://www.wpsnaps.org/app/uploads/2019/09/Belgium-NAP-3-2017-2021-English-translation-DP160100212.pdf" TargetMode="External"/><Relationship Id="rId14" Type="http://schemas.openxmlformats.org/officeDocument/2006/relationships/hyperlink" Target="https://www.ilo.org/wcmsp5/groups/public/---ed_protect/---protrav/---ilo_aids/documents/legaldocument/wcms_127414.pdf" TargetMode="External"/><Relationship Id="rId30" Type="http://schemas.openxmlformats.org/officeDocument/2006/relationships/hyperlink" Target="http://www.opengov.gr/ypex/?p=873" TargetMode="External"/><Relationship Id="rId35" Type="http://schemas.openxmlformats.org/officeDocument/2006/relationships/hyperlink" Target="https://www.wpsnaps.org/app/uploads/2019/09/Denmark-NAP-2-2008-2013.pdf" TargetMode="External"/><Relationship Id="rId56" Type="http://schemas.openxmlformats.org/officeDocument/2006/relationships/hyperlink" Target="https://www.ilo.org/dyn/natlex/docs/ELECTRONIC/101573/122451/F-237725072/englisch_bgleig.pdf" TargetMode="External"/><Relationship Id="rId77" Type="http://schemas.openxmlformats.org/officeDocument/2006/relationships/hyperlink" Target="https://www.wpsnaps.org/app/uploads/2022/12/Italy-NAP-4-2020-2024.pdf" TargetMode="External"/><Relationship Id="rId100" Type="http://schemas.openxmlformats.org/officeDocument/2006/relationships/hyperlink" Target="https://www.wpsnaps.org/app/uploads/2019/09/Portugal-NAP-1-2009-2013.pdf" TargetMode="External"/><Relationship Id="rId105" Type="http://schemas.openxmlformats.org/officeDocument/2006/relationships/hyperlink" Target="https://www.wpsnaps.org/app/uploads/2019/09/Serbia-NAP-1-2010-2015.pdf" TargetMode="External"/><Relationship Id="rId126" Type="http://schemas.openxmlformats.org/officeDocument/2006/relationships/hyperlink" Target="https://www.wpsnaps.org/app/uploads/2019/09/United-Kingdom-NAP-4-2018-2022.pdf" TargetMode="External"/><Relationship Id="rId8" Type="http://schemas.openxmlformats.org/officeDocument/2006/relationships/hyperlink" Target="https://genderclimatetracker.org/" TargetMode="External"/><Relationship Id="rId51" Type="http://schemas.openxmlformats.org/officeDocument/2006/relationships/hyperlink" Target="https://www.wpsnaps.org/app/uploads/2019/09/France-NAP-2-2015-2018.pdf" TargetMode="External"/><Relationship Id="rId72" Type="http://schemas.microsoft.com/office/2018/08/relationships/commentsExtensible" Target="commentsExtensible.xml"/><Relationship Id="rId93" Type="http://schemas.openxmlformats.org/officeDocument/2006/relationships/hyperlink" Target="http://1325naps.peacewomen.org/wp-content/uploads/2021/05/NationalActionPlan1325-IVWomenPeaceandSecurity.pdf" TargetMode="External"/><Relationship Id="rId98" Type="http://schemas.openxmlformats.org/officeDocument/2006/relationships/hyperlink" Target="https://www.wpsnaps.org/app/uploads/2019/09/Norway-NAP-4-2019-2022.pdf" TargetMode="External"/><Relationship Id="rId121" Type="http://schemas.openxmlformats.org/officeDocument/2006/relationships/hyperlink" Target="https://www.legislation.gov.uk/ukpga/2010/25/section/10" TargetMode="External"/><Relationship Id="rId3" Type="http://schemas.openxmlformats.org/officeDocument/2006/relationships/styles" Target="styles.xml"/><Relationship Id="rId25" Type="http://schemas.openxmlformats.org/officeDocument/2006/relationships/hyperlink" Target="https://www.wpsnaps.org/app/uploads/2019/09/Bulgaria-2020-2025.pdf" TargetMode="External"/><Relationship Id="rId46" Type="http://schemas.openxmlformats.org/officeDocument/2006/relationships/hyperlink" Target="https://www.wpsnaps.org/app/uploads/2019/09/Finland-NAP-2-2012-2016.pdf" TargetMode="External"/><Relationship Id="rId67" Type="http://schemas.openxmlformats.org/officeDocument/2006/relationships/hyperlink" Target="https://www.wpsnaps.org/app/uploads/2019/09/Ireland-NAP-2-2015-2018.pdf" TargetMode="External"/><Relationship Id="rId116" Type="http://schemas.openxmlformats.org/officeDocument/2006/relationships/hyperlink" Target="https://www.wpsnaps.org/app/uploads/2019/09/Switzerland-NAP-2-2010-2012.pdf" TargetMode="External"/><Relationship Id="rId20" Type="http://schemas.openxmlformats.org/officeDocument/2006/relationships/hyperlink" Target="https://www.wpsnaps.org/app/uploads/2019/09/Bosnia-and-Herzegovina-NAP-1-2010-2013.pdf" TargetMode="External"/><Relationship Id="rId41" Type="http://schemas.openxmlformats.org/officeDocument/2006/relationships/hyperlink" Target="https://www.riigiteataja.ee/en/eli/519092014003/consolide" TargetMode="External"/><Relationship Id="rId62" Type="http://schemas.openxmlformats.org/officeDocument/2006/relationships/hyperlink" Target="https://www.wpsnaps.org/app/uploads/2019/09/Iceland-NAP-1-2008.pdf" TargetMode="External"/><Relationship Id="rId83" Type="http://schemas.openxmlformats.org/officeDocument/2006/relationships/hyperlink" Target="https://www.wpsnaps.org/app/uploads/2021/01/Malta-NAP-2020-2024.pdf" TargetMode="External"/><Relationship Id="rId88" Type="http://schemas.openxmlformats.org/officeDocument/2006/relationships/hyperlink" Target="https://wetten.overheid.nl/BWBR0003299/2015-07-01" TargetMode="External"/><Relationship Id="rId111" Type="http://schemas.openxmlformats.org/officeDocument/2006/relationships/hyperlink" Target="https://www.wpsnaps.org/app/uploads/2019/09/Spain-NAP-2-2017.pdf" TargetMode="External"/><Relationship Id="rId132" Type="http://schemas.microsoft.com/office/2011/relationships/people" Target="people.xml"/><Relationship Id="rId15" Type="http://schemas.openxmlformats.org/officeDocument/2006/relationships/hyperlink" Target="https://www.ilo.org/wcmsp5/groups/public/---ed_protect/---protrav/---ilo_aids/documents/legaldocument/wcms_127414.pdf" TargetMode="External"/><Relationship Id="rId36" Type="http://schemas.openxmlformats.org/officeDocument/2006/relationships/hyperlink" Target="https://www.wpsnaps.org/app/uploads/2019/09/Denmark-NAP-3-2014-2019.pdf" TargetMode="External"/><Relationship Id="rId57" Type="http://schemas.openxmlformats.org/officeDocument/2006/relationships/hyperlink" Target="https://www.ilo.org/dyn/natlex/docs/ELECTRONIC/101573/122451/F-237725072/englisch_bgleig.pdf" TargetMode="External"/><Relationship Id="rId106" Type="http://schemas.openxmlformats.org/officeDocument/2006/relationships/hyperlink" Target="https://www.wpsnaps.org/app/uploads/2019/09/Serbia-NAP-2-2017.pdf" TargetMode="External"/><Relationship Id="rId127" Type="http://schemas.openxmlformats.org/officeDocument/2006/relationships/hyperlink" Target="http://1325naps.peacewomen.org/wp-content/uploads/2021/08/ST_11031_2019_INIT_en.pdf" TargetMode="External"/><Relationship Id="rId10" Type="http://schemas.openxmlformats.org/officeDocument/2006/relationships/hyperlink" Target="https://www.wpsnaps.org/app/uploads/2019/09/Albania-NAP-2018-2020.pdf" TargetMode="External"/><Relationship Id="rId31" Type="http://schemas.openxmlformats.org/officeDocument/2006/relationships/hyperlink" Target="https://www.ilo.org/dyn/natlex/docs/ELECTRONIC/62165/60967/F615223210/CZE62165.pdf" TargetMode="External"/><Relationship Id="rId52" Type="http://schemas.openxmlformats.org/officeDocument/2006/relationships/hyperlink" Target="https://www.wpsnaps.org/app/uploads/2022/12/France-NAP-3-2021-2025_ENG-translation.pdf" TargetMode="External"/><Relationship Id="rId73" Type="http://schemas.openxmlformats.org/officeDocument/2006/relationships/hyperlink" Target="https://www.normattiva.it/uri-res/N2Ls?urn:nir:stato:decreto.legislativo:2006-04-11;198" TargetMode="External"/><Relationship Id="rId78" Type="http://schemas.openxmlformats.org/officeDocument/2006/relationships/hyperlink" Target="https://likumi.lv/ta/en/en/id/10944" TargetMode="External"/><Relationship Id="rId94" Type="http://schemas.openxmlformats.org/officeDocument/2006/relationships/hyperlink" Target="https://www.wpsnaps.org/app/uploads/2019/09/Macedonia-NAP-2013-2015.pdf" TargetMode="External"/><Relationship Id="rId99" Type="http://schemas.openxmlformats.org/officeDocument/2006/relationships/hyperlink" Target="https://www.wpsnaps.org/app/uploads/2019/09/Poland-NAP-2018-2021.pdf" TargetMode="External"/><Relationship Id="rId101" Type="http://schemas.openxmlformats.org/officeDocument/2006/relationships/hyperlink" Target="https://www.wpsnaps.org/app/uploads/2019/09/Portugal-NAP-2-2014-2018.pdf" TargetMode="External"/><Relationship Id="rId122" Type="http://schemas.openxmlformats.org/officeDocument/2006/relationships/hyperlink" Target="https://assets.publishing.service.gov.uk/government/uploads/system/uploads/attachment_data/file/1069072/civil-service-diversity-inclusion-strategy.pdf" TargetMode="External"/><Relationship Id="rId4" Type="http://schemas.openxmlformats.org/officeDocument/2006/relationships/settings" Target="settings.xml"/><Relationship Id="rId9" Type="http://schemas.openxmlformats.org/officeDocument/2006/relationships/hyperlink" Target="https://www.ilo.org/dyn/natlex/docs/ELECTRONIC/85325/97665/F1693144153/ALB85325.pdf" TargetMode="External"/><Relationship Id="rId26" Type="http://schemas.openxmlformats.org/officeDocument/2006/relationships/hyperlink" Target="https://www.ilo.org/dyn/natlex/docs/ELECTRONIC/83909/92965/F1671454996/HRV83909.pdf" TargetMode="External"/><Relationship Id="rId47" Type="http://schemas.openxmlformats.org/officeDocument/2006/relationships/hyperlink" Target="https://www.wpsnaps.org/app/uploads/2019/09/Finland-NAP-3-2018-2021.pdf" TargetMode="External"/><Relationship Id="rId68" Type="http://schemas.openxmlformats.org/officeDocument/2006/relationships/hyperlink" Target="https://www.wpsnaps.org/app/uploads/2019/09/Ireland-NAP-3-2019-2024.pdf" TargetMode="External"/><Relationship Id="rId89" Type="http://schemas.openxmlformats.org/officeDocument/2006/relationships/hyperlink" Target="https://zoek.officielebekendmakingen.nl/kst-35628-G.html" TargetMode="External"/><Relationship Id="rId112" Type="http://schemas.openxmlformats.org/officeDocument/2006/relationships/hyperlink" Target="https://www.wpsnaps.org/app/uploads/2019/09/Sweden-NAP-1-2006-summary-only.pdf" TargetMode="External"/><Relationship Id="rId133"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www.ilo.org/dyn/natlex/docs/ELECTRONIC/83909/92965/F1671454996/HRV83909.pdf" TargetMode="External"/><Relationship Id="rId21" Type="http://schemas.openxmlformats.org/officeDocument/2006/relationships/hyperlink" Target="https://unfccc.int/sites/default/files/NDC/2022-06/NDC%20BiH_November%202020%20FINAL%20DRAFT%2005%20Nov%20ENG%20LR.pdf" TargetMode="External"/><Relationship Id="rId42" Type="http://schemas.openxmlformats.org/officeDocument/2006/relationships/hyperlink" Target="https://www.riigiteataja.ee/en/eli/519092014003/consolide" TargetMode="External"/><Relationship Id="rId47" Type="http://schemas.openxmlformats.org/officeDocument/2006/relationships/hyperlink" Target="https://www.diplomatie.gouv.fr/IMG/pdf/meae_strategie_-__en_cle076525.pdf" TargetMode="External"/><Relationship Id="rId63" Type="http://schemas.openxmlformats.org/officeDocument/2006/relationships/hyperlink" Target="https://www.irishstatutebook.ie/eli/2004/act/33/enacted/en/pdf" TargetMode="External"/><Relationship Id="rId68" Type="http://schemas.openxmlformats.org/officeDocument/2006/relationships/hyperlink" Target="https://www.nato.int/nato_static_fl2014/assets/pdf/2021/9/pdf/NCGP_Full_Report_2019.pdf" TargetMode="External"/><Relationship Id="rId16" Type="http://schemas.openxmlformats.org/officeDocument/2006/relationships/hyperlink" Target="https://www.primeminister.am/en/statements-and-messages/item/2021/08/24/Nikol-Pashinyan-Speech/" TargetMode="External"/><Relationship Id="rId11" Type="http://schemas.openxmlformats.org/officeDocument/2006/relationships/hyperlink" Target="https://www.ris.bka.gv.at/GeltendeFassung.wxe?Abfrage=Bundesnormen&amp;Gesetzesnummer=10008858" TargetMode="External"/><Relationship Id="rId24" Type="http://schemas.openxmlformats.org/officeDocument/2006/relationships/hyperlink" Target="https://www.nato.int/nato_static_fl2014/assets/pdf/2021/9/pdf/NCGP_Full_Report_2019.pdf" TargetMode="External"/><Relationship Id="rId32" Type="http://schemas.openxmlformats.org/officeDocument/2006/relationships/hyperlink" Target="http://1325naps.peacewomen.org/wp-content/uploads/2021/04/Cyprus-National-Action-Plan-1325.pdf" TargetMode="External"/><Relationship Id="rId37" Type="http://schemas.openxmlformats.org/officeDocument/2006/relationships/hyperlink" Target="https://gnwp.org/wp-content/uploads/Denmark-NAP-4-2020-2024.pdf" TargetMode="External"/><Relationship Id="rId40" Type="http://schemas.openxmlformats.org/officeDocument/2006/relationships/hyperlink" Target="https://www.riigiteataja.ee/en/eli/509072014003/consolide" TargetMode="External"/><Relationship Id="rId45" Type="http://schemas.openxmlformats.org/officeDocument/2006/relationships/hyperlink" Target="https://um.fi/documents/35732/0/Gender+equality+in+foreign+affairs_Vastapuu_Lyytikainen.pdf/4aef250d-4d89-41cd-d390-6059951d4aa9?t=1668426670061" TargetMode="External"/><Relationship Id="rId53" Type="http://schemas.openxmlformats.org/officeDocument/2006/relationships/hyperlink" Target="https://www.ilo.org/dyn/natlex/docs/ELECTRONIC/101573/122451/F-237725072/englisch_bgleig.pdf" TargetMode="External"/><Relationship Id="rId58" Type="http://schemas.openxmlformats.org/officeDocument/2006/relationships/hyperlink" Target="https://constitutions.unwomen.org/en/countries/europe/greece?provisioncategory=b21e8a4f9df246429cf4e8746437e5ac" TargetMode="External"/><Relationship Id="rId66" Type="http://schemas.openxmlformats.org/officeDocument/2006/relationships/hyperlink" Target="https://www.wpsnaps.org/app/uploads/2019/09/Moldova-NAP-2018-2021.pdf" TargetMode="External"/><Relationship Id="rId74" Type="http://schemas.openxmlformats.org/officeDocument/2006/relationships/hyperlink" Target="https://www.wpsnaps.org/app/uploads/2019/09/United-Kingdom-NAP-4-2018-2022.pdf" TargetMode="External"/><Relationship Id="rId5" Type="http://schemas.openxmlformats.org/officeDocument/2006/relationships/hyperlink" Target="http://1325naps.peacewomen.org/wp-content/uploads/2020/12/Albania-Action-Plan-on-Resolution-1325_ENG-CMD-524-11.09.2019-1-2.pdf" TargetMode="External"/><Relationship Id="rId61" Type="http://schemas.openxmlformats.org/officeDocument/2006/relationships/hyperlink" Target="https://unfccc.int/sites/default/files/NDC/2022-06/Iceland_updated_NDC_Submission_Feb_2021.pdf" TargetMode="External"/><Relationship Id="rId19" Type="http://schemas.openxmlformats.org/officeDocument/2006/relationships/hyperlink" Target="https://www.nato.int/nato_static_fl2014/assets/pdf/2021/9/pdf/NCGP_Full_Report_2019.pdf" TargetMode="External"/><Relationship Id="rId14" Type="http://schemas.openxmlformats.org/officeDocument/2006/relationships/hyperlink" Target="https://www4.unfccc.int/sites/submissions/INDC/Published%20Documents/Azerbaijan/1/INDC%20Azerbaijan.pdf" TargetMode="External"/><Relationship Id="rId22" Type="http://schemas.openxmlformats.org/officeDocument/2006/relationships/hyperlink" Target="https://www.me.government.bg/en/library/civil-servants-act-381-c25-m1515-1.html" TargetMode="External"/><Relationship Id="rId27" Type="http://schemas.openxmlformats.org/officeDocument/2006/relationships/hyperlink" Target="https://www.peacewomen.org/sites/default/files/1910041657-nap-en-fin.pdf" TargetMode="External"/><Relationship Id="rId30" Type="http://schemas.openxmlformats.org/officeDocument/2006/relationships/hyperlink" Target="https://www.ilo.org/dyn/natlex/docs/ELECTRONIC/64364/70389/F1542088671/CYP64364.pdf" TargetMode="External"/><Relationship Id="rId35" Type="http://schemas.openxmlformats.org/officeDocument/2006/relationships/hyperlink" Target="https://www.mzv.cz/jnp/en/foreign_relations/women_peace_and_security/index.html" TargetMode="External"/><Relationship Id="rId43" Type="http://schemas.openxmlformats.org/officeDocument/2006/relationships/hyperlink" Target="http://1325naps.peacewomen.org/wp-content/uploads/2022/02/EE-NAP-Women-Peace-Security-2020-2025-ENG.pdf" TargetMode="External"/><Relationship Id="rId48" Type="http://schemas.openxmlformats.org/officeDocument/2006/relationships/hyperlink" Target="https://www.diplomatie.gouv.fr/IMG/pdf/rapport-diplomatie_feministe-v4-2_cle8a99a1.pdf" TargetMode="External"/><Relationship Id="rId56" Type="http://schemas.openxmlformats.org/officeDocument/2006/relationships/hyperlink" Target="https://www.gesetze-im-internet.de/englisch_gg/englisch_gg.html" TargetMode="External"/><Relationship Id="rId64" Type="http://schemas.openxmlformats.org/officeDocument/2006/relationships/hyperlink" Target="https://www.wpsnaps.org/app/uploads/2021/01/Latvia-NAP-2020-2025.pdf" TargetMode="External"/><Relationship Id="rId69" Type="http://schemas.openxmlformats.org/officeDocument/2006/relationships/hyperlink" Target="https://www.wpsnaps.org/app/uploads/2021/11/Portugal-2019-NAP-3-2019-2022-English-translation-DP160100212.pdf" TargetMode="External"/><Relationship Id="rId77" Type="http://schemas.openxmlformats.org/officeDocument/2006/relationships/hyperlink" Target="https://www.canada.ca/en/ombudsman-national-defence-forces/reports-news-statistics/investigative-reports/employment-equity-diversity/employment-equity-diversity-report.html" TargetMode="External"/><Relationship Id="rId8" Type="http://schemas.openxmlformats.org/officeDocument/2006/relationships/hyperlink" Target="http://1325naps.peacewomen.org/wp-content/uploads/2020/12/Albania-Action-Plan-on-Resolution-1325_ENG-CMD-524-11.09.2019-1-2.pdf" TargetMode="External"/><Relationship Id="rId51" Type="http://schemas.openxmlformats.org/officeDocument/2006/relationships/hyperlink" Target="https://georgia.unwomen.org/sites/default/files/Field%20Office%20Georgia/Attachments/Publications/2020/WPS.pdf" TargetMode="External"/><Relationship Id="rId72" Type="http://schemas.openxmlformats.org/officeDocument/2006/relationships/hyperlink" Target="https://assets.publishing.service.gov.uk/government/uploads/system/uploads/attachment_data/file/1057951/civil-service-diversity-inclusion-strategy-2017-withdrawn.pdf" TargetMode="External"/><Relationship Id="rId3" Type="http://schemas.openxmlformats.org/officeDocument/2006/relationships/hyperlink" Target="https://unfccc.int/sites/default/files/2022-08/Albania%20Revised%20NDC.pdf" TargetMode="External"/><Relationship Id="rId12" Type="http://schemas.openxmlformats.org/officeDocument/2006/relationships/hyperlink" Target="https://www.ris.bka.gv.at/GeltendeFassung.wxe?Abfrage=Bundesnormen&amp;Gesetzesnummer=10008858" TargetMode="External"/><Relationship Id="rId17" Type="http://schemas.openxmlformats.org/officeDocument/2006/relationships/hyperlink" Target="https://www.ilo.org/wcmsp5/groups/public/---ed_protect/---protrav/---ilo_aids/documents/legaldocument/wcms_127414.pdf" TargetMode="External"/><Relationship Id="rId25" Type="http://schemas.openxmlformats.org/officeDocument/2006/relationships/hyperlink" Target="http://1325naps.peacewomen.org/wp-content/uploads/2021/07/Bulgaria-2020-2025.pdf" TargetMode="External"/><Relationship Id="rId33" Type="http://schemas.openxmlformats.org/officeDocument/2006/relationships/hyperlink" Target="https://www.ilo.org/dyn/natlex/docs/ELECTRONIC/64364/70389/F1542088671/CYP64364.pdf" TargetMode="External"/><Relationship Id="rId38" Type="http://schemas.openxmlformats.org/officeDocument/2006/relationships/hyperlink" Target="https://www.fmn.dk/globalassets/fmn/dokumenter/strategi/-ministry-of-defense-implementation-plan-2021-.pdf" TargetMode="External"/><Relationship Id="rId46" Type="http://schemas.openxmlformats.org/officeDocument/2006/relationships/hyperlink" Target="https://www.peacewomen.org/sites/default/files/03_18_Women_Peace_Security%20(1)%20(2).pdf" TargetMode="External"/><Relationship Id="rId59" Type="http://schemas.openxmlformats.org/officeDocument/2006/relationships/hyperlink" Target="https://doi.org/10.1787/1c258f55-en" TargetMode="External"/><Relationship Id="rId67" Type="http://schemas.openxmlformats.org/officeDocument/2006/relationships/hyperlink" Target="https://unfccc.int/sites/default/files/NDC/2022-06/Belarus_NDC_English.pdf" TargetMode="External"/><Relationship Id="rId20" Type="http://schemas.openxmlformats.org/officeDocument/2006/relationships/hyperlink" Target="https://www.wpsnaps.org/app/uploads/2019/09/Belgium-NAP-3-2017-2021-English-translation-DP160100212.pdf" TargetMode="External"/><Relationship Id="rId41" Type="http://schemas.openxmlformats.org/officeDocument/2006/relationships/hyperlink" Target="http://1325naps.peacewomen.org/wp-content/uploads/2022/02/EE-NAP-Women-Peace-Security-2020-2025-ENG.pdf" TargetMode="External"/><Relationship Id="rId54" Type="http://schemas.openxmlformats.org/officeDocument/2006/relationships/hyperlink" Target="https://www.gesetze-im-internet.de/bgleig_2015/BJNR064300015.html" TargetMode="External"/><Relationship Id="rId62" Type="http://schemas.openxmlformats.org/officeDocument/2006/relationships/hyperlink" Target="https://www.wpsnaps.org/app/uploads/2019/09/Iceland-NAP-3-2018-2022.pdf" TargetMode="External"/><Relationship Id="rId70" Type="http://schemas.openxmlformats.org/officeDocument/2006/relationships/hyperlink" Target="https://www.nato.int/nato_static_fl2014/assets/pdf/2021/9/pdf/NCGP_Full_Report_2019.pdf" TargetMode="External"/><Relationship Id="rId75" Type="http://schemas.openxmlformats.org/officeDocument/2006/relationships/hyperlink" Target="https://unfccc.int/sites/default/files/NDC/2022-06/EU_NDC_Submission_December%202020.pdf" TargetMode="External"/><Relationship Id="rId1" Type="http://schemas.openxmlformats.org/officeDocument/2006/relationships/hyperlink" Target="https://unfccc.int/sites/default/files/2022-08/Albania%20Revised%20NDC.pdf" TargetMode="External"/><Relationship Id="rId6" Type="http://schemas.openxmlformats.org/officeDocument/2006/relationships/hyperlink" Target="https://www.nato.int/nato_static_fl2014/assets/pdf/pdf_2017_01/20170113_2015_NCGP_National_Reports_Summary.pdf" TargetMode="External"/><Relationship Id="rId15" Type="http://schemas.openxmlformats.org/officeDocument/2006/relationships/hyperlink" Target="https://www.ilo.org/wcmsp5/groups/public/---ed_protect/---protrav/---ilo_aids/documents/legaldocument/wcms_127414.pdf" TargetMode="External"/><Relationship Id="rId23" Type="http://schemas.openxmlformats.org/officeDocument/2006/relationships/hyperlink" Target="https://lex.bg/en/laws/ldoc/2136803101" TargetMode="External"/><Relationship Id="rId28" Type="http://schemas.openxmlformats.org/officeDocument/2006/relationships/hyperlink" Target="https://www.nato.int/nato_static_fl2014/assets/pdf/2021/9/pdf/NCGP_Full_Report_2019.pdf" TargetMode="External"/><Relationship Id="rId36" Type="http://schemas.openxmlformats.org/officeDocument/2006/relationships/hyperlink" Target="https://www.retsinformation.dk/eli/lta/1983/150" TargetMode="External"/><Relationship Id="rId49" Type="http://schemas.openxmlformats.org/officeDocument/2006/relationships/hyperlink" Target="https://unfccc.int/sites/default/files/NDC/2022-06/NDC%20Georgia_ENG%20WEB-approved.pdf" TargetMode="External"/><Relationship Id="rId57" Type="http://schemas.openxmlformats.org/officeDocument/2006/relationships/hyperlink" Target="https://www.wpsnaps.org/app/uploads/2022/12/Germany-NAP-3-2021-2024.pdf" TargetMode="External"/><Relationship Id="rId10" Type="http://schemas.openxmlformats.org/officeDocument/2006/relationships/hyperlink" Target="https://unfccc.int/sites/default/files/NDC/2022-06/NDC%20of%20Republic%20of%20Armenia%20%202021-2030.pdf" TargetMode="External"/><Relationship Id="rId31" Type="http://schemas.openxmlformats.org/officeDocument/2006/relationships/hyperlink" Target="http://www.cylaw.org/nomoi/enop/non-ind/2002_1_205/full.html" TargetMode="External"/><Relationship Id="rId44" Type="http://schemas.openxmlformats.org/officeDocument/2006/relationships/hyperlink" Target="https://um.fi/documents/35732/0/Gender+equality+in+foreign+affairs_Vastapuu_Lyytikainen.pdf/4aef250d-4d89-41cd-d390-6059951d4aa9?t=1668426670061" TargetMode="External"/><Relationship Id="rId52" Type="http://schemas.openxmlformats.org/officeDocument/2006/relationships/hyperlink" Target="https://www.gesetze-im-internet.de/bgleig_2015/BJNR064300015.html" TargetMode="External"/><Relationship Id="rId60" Type="http://schemas.openxmlformats.org/officeDocument/2006/relationships/hyperlink" Target="https://www.nato.int/nato_static_fl2014/assets/pdf/2021/9/pdf/NCGP_Full_Report_2019.pdf" TargetMode="External"/><Relationship Id="rId65" Type="http://schemas.openxmlformats.org/officeDocument/2006/relationships/hyperlink" Target="https://www.wpsnaps.org/app/uploads/2021/01/Latvia-NAP-2020-2025.pdf" TargetMode="External"/><Relationship Id="rId73" Type="http://schemas.openxmlformats.org/officeDocument/2006/relationships/hyperlink" Target="https://committees.parliament.uk/publications/6959/documents/72771/default/" TargetMode="External"/><Relationship Id="rId4" Type="http://schemas.openxmlformats.org/officeDocument/2006/relationships/hyperlink" Target="https://www.ilo.org/dyn/natlex/docs/ELECTRONIC/85325/97665/F1693144153/ALB85325.pdf" TargetMode="External"/><Relationship Id="rId9" Type="http://schemas.openxmlformats.org/officeDocument/2006/relationships/hyperlink" Target="https://unfccc.int/sites/default/files/NDC/2023-01/221125_Actualizaci%C3%B3n_NDC_DEF.pdf" TargetMode="External"/><Relationship Id="rId13" Type="http://schemas.openxmlformats.org/officeDocument/2006/relationships/hyperlink" Target="http://peacewomen.org/sites/default/files/austriaupdatednap2012.pdf" TargetMode="External"/><Relationship Id="rId18" Type="http://schemas.openxmlformats.org/officeDocument/2006/relationships/hyperlink" Target="http://1325naps.peacewomen.org/wp-content/uploads/2021/07/Azerbaijan-2020-2023.pdf" TargetMode="External"/><Relationship Id="rId39" Type="http://schemas.openxmlformats.org/officeDocument/2006/relationships/hyperlink" Target="https://www.riigiteataja.ee/en/eli/509072014003/consolide" TargetMode="External"/><Relationship Id="rId34" Type="http://schemas.openxmlformats.org/officeDocument/2006/relationships/hyperlink" Target="https://www.nato.int/nato_static_fl2014/assets/pdf/2021/9/pdf/NCGP_Full_Report_2019.pdf" TargetMode="External"/><Relationship Id="rId50" Type="http://schemas.openxmlformats.org/officeDocument/2006/relationships/hyperlink" Target="https://unfccc.int/sites/default/files/NDC/2022-06/NDC%20Georgia_ENG%20WEB-approved.pdf" TargetMode="External"/><Relationship Id="rId55" Type="http://schemas.openxmlformats.org/officeDocument/2006/relationships/hyperlink" Target="https://www.ilo.org/dyn/natlex/docs/ELECTRONIC/101573/122451/F-237725072/englisch_bgleig.pdf" TargetMode="External"/><Relationship Id="rId76" Type="http://schemas.openxmlformats.org/officeDocument/2006/relationships/hyperlink" Target="https://www.canada.ca/en/ombudsman-national-defence-forces/reports-news-statistics/investigative-reports/employment-equity-diversity/employment-equity-diversity-report.html" TargetMode="External"/><Relationship Id="rId7" Type="http://schemas.openxmlformats.org/officeDocument/2006/relationships/hyperlink" Target="https://www.nato.int/nato_static_fl2014/assets/pdf/2021/9/pdf/NCGP_Full_Report_2019.pdf" TargetMode="External"/><Relationship Id="rId71" Type="http://schemas.openxmlformats.org/officeDocument/2006/relationships/hyperlink" Target="https://unfccc.int/sites/default/files/NDC/2022-06/UK%20Nationally%20Determined%20Contribution.pdf" TargetMode="External"/><Relationship Id="rId2" Type="http://schemas.openxmlformats.org/officeDocument/2006/relationships/hyperlink" Target="https://unfccc.int/sites/default/files/2022-08/Albania%20Revised%20NDC.pdf" TargetMode="External"/><Relationship Id="rId29" Type="http://schemas.openxmlformats.org/officeDocument/2006/relationships/hyperlink" Target="https://www.peacewomen.org/sites/default/files/1910041657-nap-en-fin.pdf" TargetMode="External"/></Relationship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847FB-4A6B-BD4A-B966-8CEC96E3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120</Pages>
  <Words>27324</Words>
  <Characters>155752</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Fuhrmann, Veronika</dc:creator>
  <cp:keywords/>
  <dc:description/>
  <cp:lastModifiedBy>Rangita de Silva de Alwis</cp:lastModifiedBy>
  <cp:revision>2</cp:revision>
  <dcterms:created xsi:type="dcterms:W3CDTF">2023-04-19T18:28:00Z</dcterms:created>
  <dcterms:modified xsi:type="dcterms:W3CDTF">2023-04-19T18:28:00Z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id="ZvwMsLwL"/&gt;&lt;style id="http://www.zotero.org/styles/bluebook-law-review" hasBibliography="0" bibliographyStyleHasBeenSet="0"/&gt;&lt;prefs&gt;&lt;pref name="fieldType" value="Field"/&gt;&lt;pref name="noteType" val</vt:lpwstr>
  </property>
  <property fmtid="{D5CDD505-2E9C-101B-9397-08002B2CF9AE}" pid="3" name="ZOTERO_PREF_2">
    <vt:lpwstr>ue="1"/&gt;&lt;/prefs&gt;&lt;/data&gt;</vt:lpwstr>
  </property>
</Properties>
</file>